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E2" w:rsidRDefault="009009E2" w:rsidP="009009E2">
      <w:pPr>
        <w:rPr>
          <w:rFonts w:ascii="等线" w:eastAsia="等线" w:hAnsi="等线"/>
          <w:kern w:val="0"/>
          <w:sz w:val="24"/>
          <w:szCs w:val="24"/>
        </w:rPr>
      </w:pPr>
    </w:p>
    <w:p w:rsidR="009009E2" w:rsidRDefault="009009E2" w:rsidP="009009E2">
      <w:pPr>
        <w:rPr>
          <w:rFonts w:ascii="等线" w:eastAsia="等线" w:hAnsi="等线"/>
          <w:kern w:val="0"/>
          <w:sz w:val="24"/>
          <w:szCs w:val="24"/>
        </w:rPr>
      </w:pPr>
      <w:r>
        <w:rPr>
          <w:rFonts w:ascii="等线" w:eastAsia="等线" w:hAnsi="等线" w:hint="eastAsia"/>
          <w:kern w:val="0"/>
          <w:sz w:val="24"/>
          <w:szCs w:val="24"/>
        </w:rPr>
        <w:t xml:space="preserve"> </w:t>
      </w:r>
    </w:p>
    <w:p w:rsidR="009009E2" w:rsidRDefault="009009E2" w:rsidP="009009E2">
      <w:pPr>
        <w:rPr>
          <w:rFonts w:ascii="等线" w:eastAsia="等线" w:hAnsi="等线"/>
          <w:kern w:val="0"/>
          <w:sz w:val="24"/>
          <w:szCs w:val="24"/>
        </w:rPr>
      </w:pPr>
      <w:r>
        <w:rPr>
          <w:rFonts w:ascii="等线" w:eastAsia="等线" w:hAnsi="等线" w:hint="eastAsia"/>
          <w:kern w:val="0"/>
          <w:sz w:val="24"/>
          <w:szCs w:val="24"/>
        </w:rPr>
        <w:t xml:space="preserve"> </w:t>
      </w:r>
    </w:p>
    <w:p w:rsidR="009009E2" w:rsidRDefault="009009E2" w:rsidP="009009E2">
      <w:pPr>
        <w:rPr>
          <w:rFonts w:ascii="等线" w:eastAsia="等线" w:hAnsi="等线"/>
          <w:kern w:val="0"/>
          <w:sz w:val="24"/>
          <w:szCs w:val="24"/>
        </w:rPr>
      </w:pPr>
      <w:r>
        <w:rPr>
          <w:rFonts w:ascii="等线" w:eastAsia="等线" w:hAnsi="等线" w:hint="eastAsia"/>
          <w:kern w:val="0"/>
          <w:sz w:val="24"/>
          <w:szCs w:val="24"/>
        </w:rPr>
        <w:t xml:space="preserve">  </w:t>
      </w:r>
    </w:p>
    <w:p w:rsidR="004C27AC" w:rsidRDefault="004C27AC" w:rsidP="00490218">
      <w:pPr>
        <w:autoSpaceDE w:val="0"/>
        <w:autoSpaceDN w:val="0"/>
        <w:adjustRightInd w:val="0"/>
        <w:spacing w:line="360" w:lineRule="auto"/>
        <w:ind w:leftChars="-67" w:left="-141"/>
        <w:jc w:val="center"/>
        <w:rPr>
          <w:rFonts w:ascii="等线" w:eastAsia="等线" w:hAnsi="等线"/>
          <w:b/>
          <w:bCs/>
          <w:sz w:val="48"/>
          <w:szCs w:val="48"/>
        </w:rPr>
      </w:pPr>
      <w:r w:rsidRPr="004C27AC">
        <w:rPr>
          <w:rFonts w:ascii="等线" w:eastAsia="等线" w:hAnsi="等线" w:hint="eastAsia"/>
          <w:b/>
          <w:bCs/>
          <w:sz w:val="48"/>
          <w:szCs w:val="48"/>
        </w:rPr>
        <w:t>“</w:t>
      </w:r>
      <w:r w:rsidR="00F1675A" w:rsidRPr="00F1675A">
        <w:rPr>
          <w:rFonts w:ascii="等线" w:eastAsia="等线" w:hAnsi="等线" w:hint="eastAsia"/>
          <w:b/>
          <w:bCs/>
          <w:sz w:val="48"/>
          <w:szCs w:val="48"/>
        </w:rPr>
        <w:t>2023淋巴瘤线上疾病知识普及项目</w:t>
      </w:r>
      <w:r w:rsidRPr="004C27AC">
        <w:rPr>
          <w:rFonts w:ascii="等线" w:eastAsia="等线" w:hAnsi="等线" w:hint="eastAsia"/>
          <w:b/>
          <w:bCs/>
          <w:sz w:val="48"/>
          <w:szCs w:val="48"/>
        </w:rPr>
        <w:t xml:space="preserve">” </w:t>
      </w:r>
    </w:p>
    <w:p w:rsidR="004C27AC" w:rsidRPr="004C27AC" w:rsidRDefault="004C27AC" w:rsidP="00490218">
      <w:pPr>
        <w:autoSpaceDE w:val="0"/>
        <w:autoSpaceDN w:val="0"/>
        <w:adjustRightInd w:val="0"/>
        <w:spacing w:line="360" w:lineRule="auto"/>
        <w:ind w:leftChars="-67" w:left="-141"/>
        <w:jc w:val="center"/>
        <w:rPr>
          <w:rFonts w:ascii="等线" w:eastAsia="等线" w:hAnsi="等线"/>
          <w:b/>
          <w:bCs/>
          <w:sz w:val="48"/>
          <w:szCs w:val="48"/>
        </w:rPr>
      </w:pPr>
    </w:p>
    <w:p w:rsidR="009009E2" w:rsidRDefault="009009E2" w:rsidP="00490218">
      <w:pPr>
        <w:autoSpaceDE w:val="0"/>
        <w:autoSpaceDN w:val="0"/>
        <w:adjustRightInd w:val="0"/>
        <w:spacing w:line="360" w:lineRule="auto"/>
        <w:ind w:leftChars="-67" w:left="-141"/>
        <w:jc w:val="center"/>
        <w:rPr>
          <w:rFonts w:ascii="等线" w:eastAsia="等线" w:hAnsi="等线"/>
          <w:b/>
          <w:bCs/>
          <w:sz w:val="48"/>
          <w:szCs w:val="48"/>
        </w:rPr>
      </w:pPr>
      <w:r>
        <w:rPr>
          <w:rFonts w:ascii="等线" w:eastAsia="等线" w:hAnsi="等线" w:hint="eastAsia"/>
          <w:b/>
          <w:bCs/>
          <w:sz w:val="48"/>
          <w:szCs w:val="48"/>
        </w:rPr>
        <w:t>需求说明书</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490218" w:rsidP="00490218">
      <w:pPr>
        <w:tabs>
          <w:tab w:val="left" w:pos="6283"/>
        </w:tabs>
        <w:spacing w:after="200" w:line="273" w:lineRule="auto"/>
        <w:jc w:val="left"/>
        <w:rPr>
          <w:rFonts w:ascii="等线" w:eastAsia="等线" w:hAnsi="等线"/>
          <w:b/>
          <w:bCs/>
          <w:sz w:val="18"/>
          <w:szCs w:val="18"/>
        </w:rPr>
      </w:pPr>
      <w:r>
        <w:rPr>
          <w:rFonts w:ascii="等线" w:eastAsia="等线" w:hAnsi="等线"/>
          <w:b/>
          <w:bCs/>
          <w:sz w:val="18"/>
          <w:szCs w:val="18"/>
        </w:rPr>
        <w:tab/>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4C27AC">
      <w:pPr>
        <w:spacing w:after="200" w:line="273" w:lineRule="auto"/>
        <w:jc w:val="center"/>
        <w:rPr>
          <w:rFonts w:ascii="等线" w:eastAsia="等线" w:hAnsi="等线"/>
          <w:b/>
          <w:color w:val="000000"/>
          <w:sz w:val="24"/>
          <w:szCs w:val="24"/>
        </w:rPr>
      </w:pPr>
      <w:r>
        <w:rPr>
          <w:rFonts w:ascii="等线" w:eastAsia="等线" w:hAnsi="等线" w:hint="eastAsia"/>
          <w:b/>
          <w:color w:val="000000"/>
          <w:sz w:val="24"/>
          <w:szCs w:val="24"/>
        </w:rPr>
        <w:t>北京新阳光慈善基金会</w:t>
      </w:r>
    </w:p>
    <w:p w:rsidR="009009E2" w:rsidRDefault="009009E2" w:rsidP="009009E2">
      <w:pPr>
        <w:spacing w:after="200" w:line="273" w:lineRule="auto"/>
        <w:rPr>
          <w:rFonts w:ascii="等线" w:eastAsia="等线" w:hAnsi="等线"/>
          <w:b/>
          <w:bCs/>
          <w:sz w:val="18"/>
          <w:szCs w:val="18"/>
        </w:rPr>
      </w:pPr>
      <w:r>
        <w:rPr>
          <w:rFonts w:ascii="等线" w:eastAsia="等线" w:hAnsi="等线" w:hint="eastAsia"/>
          <w:b/>
          <w:bCs/>
          <w:sz w:val="18"/>
          <w:szCs w:val="18"/>
        </w:rPr>
        <w:t xml:space="preserve"> </w:t>
      </w:r>
    </w:p>
    <w:p w:rsidR="009009E2" w:rsidRDefault="009009E2" w:rsidP="009009E2">
      <w:pPr>
        <w:spacing w:after="200" w:line="273" w:lineRule="auto"/>
        <w:rPr>
          <w:rFonts w:ascii="等线" w:eastAsia="等线" w:hAnsi="等线"/>
          <w:b/>
          <w:sz w:val="18"/>
          <w:szCs w:val="18"/>
        </w:rPr>
      </w:pPr>
      <w:r>
        <w:rPr>
          <w:rFonts w:ascii="等线" w:eastAsia="等线" w:hAnsi="等线" w:hint="eastAsia"/>
          <w:b/>
          <w:bCs/>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36"/>
      </w:tblGrid>
      <w:tr w:rsidR="009009E2" w:rsidTr="00013019">
        <w:trPr>
          <w:trHeight w:val="558"/>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bookmarkStart w:id="0" w:name="_GoBack" w:colFirst="1" w:colLast="1"/>
            <w:r w:rsidRPr="003430DB">
              <w:rPr>
                <w:rFonts w:ascii="等线" w:eastAsia="等线" w:hAnsi="等线" w:hint="eastAsia"/>
                <w:b/>
                <w:szCs w:val="21"/>
              </w:rPr>
              <w:lastRenderedPageBreak/>
              <w:t>项目名称</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8A3ED3" w:rsidRDefault="00F1675A" w:rsidP="00013019">
            <w:pPr>
              <w:ind w:firstLineChars="247" w:firstLine="593"/>
              <w:rPr>
                <w:rFonts w:ascii="等线" w:eastAsia="等线" w:hAnsi="等线"/>
                <w:sz w:val="18"/>
                <w:szCs w:val="18"/>
              </w:rPr>
            </w:pPr>
            <w:r w:rsidRPr="00F1675A">
              <w:rPr>
                <w:rFonts w:asciiTheme="minorEastAsia" w:eastAsiaTheme="minorEastAsia" w:hAnsiTheme="minorEastAsia" w:cs="宋体" w:hint="eastAsia"/>
                <w:color w:val="000000"/>
                <w:kern w:val="0"/>
                <w:sz w:val="24"/>
                <w:szCs w:val="24"/>
              </w:rPr>
              <w:t>2023淋巴瘤线上疾病知识普及项目</w:t>
            </w:r>
          </w:p>
        </w:tc>
      </w:tr>
      <w:tr w:rsidR="009009E2" w:rsidTr="004C27AC">
        <w:trPr>
          <w:trHeight w:val="1435"/>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项目背景</w:t>
            </w:r>
          </w:p>
        </w:tc>
        <w:tc>
          <w:tcPr>
            <w:tcW w:w="4071" w:type="pct"/>
            <w:tcBorders>
              <w:top w:val="single" w:sz="4" w:space="0" w:color="auto"/>
              <w:left w:val="single" w:sz="4" w:space="0" w:color="auto"/>
              <w:bottom w:val="single" w:sz="4" w:space="0" w:color="auto"/>
              <w:right w:val="single" w:sz="4" w:space="0" w:color="auto"/>
            </w:tcBorders>
            <w:vAlign w:val="center"/>
          </w:tcPr>
          <w:p w:rsidR="00F1675A"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hint="eastAsia"/>
              </w:rPr>
              <w:t>促进中国医疗卫生事业发展、促进医学科学交流与教育、提高医学科学研究和实践水平，以及造福淋巴瘤患者人群。</w:t>
            </w:r>
          </w:p>
          <w:p w:rsidR="009009E2" w:rsidRPr="00F1675A" w:rsidRDefault="009009E2" w:rsidP="00F1675A">
            <w:pPr>
              <w:pStyle w:val="Default"/>
              <w:ind w:firstLineChars="200" w:firstLine="480"/>
              <w:rPr>
                <w:rFonts w:asciiTheme="minorEastAsia" w:eastAsiaTheme="minorEastAsia" w:hAnsiTheme="minorEastAsia"/>
              </w:rPr>
            </w:pPr>
          </w:p>
        </w:tc>
      </w:tr>
      <w:tr w:rsidR="009009E2" w:rsidTr="001129B8">
        <w:trPr>
          <w:trHeight w:val="841"/>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项目目标</w:t>
            </w:r>
          </w:p>
        </w:tc>
        <w:tc>
          <w:tcPr>
            <w:tcW w:w="4071" w:type="pct"/>
            <w:tcBorders>
              <w:top w:val="single" w:sz="4" w:space="0" w:color="auto"/>
              <w:left w:val="single" w:sz="4" w:space="0" w:color="auto"/>
              <w:bottom w:val="single" w:sz="4" w:space="0" w:color="auto"/>
              <w:right w:val="single" w:sz="4" w:space="0" w:color="auto"/>
            </w:tcBorders>
            <w:vAlign w:val="center"/>
          </w:tcPr>
          <w:p w:rsidR="00F1675A"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hint="eastAsia"/>
              </w:rPr>
              <w:t>提高患者和公众的淋巴瘤知识知晓率，提高公众和社会对淋巴瘤及淋巴瘤患者人群的认知。</w:t>
            </w:r>
          </w:p>
          <w:p w:rsidR="009009E2" w:rsidRPr="00F1675A" w:rsidRDefault="009009E2" w:rsidP="00F1675A">
            <w:pPr>
              <w:pStyle w:val="Default"/>
              <w:ind w:firstLineChars="200" w:firstLine="480"/>
              <w:rPr>
                <w:rFonts w:asciiTheme="minorEastAsia" w:eastAsiaTheme="minorEastAsia" w:hAnsiTheme="minorEastAsia"/>
              </w:rPr>
            </w:pPr>
          </w:p>
        </w:tc>
      </w:tr>
      <w:tr w:rsidR="009009E2" w:rsidTr="00013019">
        <w:trPr>
          <w:trHeight w:val="952"/>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013019" w:rsidP="001129B8">
            <w:pPr>
              <w:spacing w:afterLines="50" w:after="156"/>
              <w:ind w:left="57"/>
              <w:rPr>
                <w:rFonts w:ascii="等线" w:eastAsia="等线" w:hAnsi="等线"/>
                <w:b/>
                <w:szCs w:val="21"/>
              </w:rPr>
            </w:pPr>
            <w:r w:rsidRPr="003430DB">
              <w:rPr>
                <w:rFonts w:ascii="等线" w:eastAsia="等线" w:hAnsi="等线" w:hint="eastAsia"/>
                <w:b/>
                <w:szCs w:val="21"/>
              </w:rPr>
              <w:t>2</w:t>
            </w:r>
            <w:r w:rsidR="009009E2" w:rsidRPr="003430DB">
              <w:rPr>
                <w:rFonts w:ascii="等线" w:eastAsia="等线" w:hAnsi="等线" w:hint="eastAsia"/>
                <w:b/>
                <w:szCs w:val="21"/>
              </w:rPr>
              <w:t>项目内容</w:t>
            </w:r>
          </w:p>
        </w:tc>
        <w:tc>
          <w:tcPr>
            <w:tcW w:w="4071" w:type="pct"/>
            <w:tcBorders>
              <w:top w:val="single" w:sz="4" w:space="0" w:color="auto"/>
              <w:left w:val="single" w:sz="4" w:space="0" w:color="auto"/>
              <w:bottom w:val="single" w:sz="4" w:space="0" w:color="auto"/>
              <w:right w:val="single" w:sz="4" w:space="0" w:color="auto"/>
            </w:tcBorders>
            <w:vAlign w:val="center"/>
          </w:tcPr>
          <w:p w:rsidR="00F1675A"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hint="eastAsia"/>
              </w:rPr>
              <w:t>1.</w:t>
            </w:r>
            <w:r w:rsidRPr="00F1675A">
              <w:rPr>
                <w:rFonts w:asciiTheme="minorEastAsia" w:eastAsiaTheme="minorEastAsia" w:hAnsiTheme="minorEastAsia"/>
              </w:rPr>
              <w:t xml:space="preserve"> </w:t>
            </w:r>
            <w:r w:rsidRPr="00F1675A">
              <w:rPr>
                <w:rFonts w:asciiTheme="minorEastAsia" w:eastAsiaTheme="minorEastAsia" w:hAnsiTheme="minorEastAsia" w:hint="eastAsia"/>
              </w:rPr>
              <w:t>联系不同的国内知名的淋巴瘤诊疗领域的专家为患者和公众进行患教</w:t>
            </w:r>
          </w:p>
          <w:p w:rsidR="00F1675A"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rPr>
              <w:t xml:space="preserve">2. </w:t>
            </w:r>
            <w:r w:rsidRPr="00F1675A">
              <w:rPr>
                <w:rFonts w:asciiTheme="minorEastAsia" w:eastAsiaTheme="minorEastAsia" w:hAnsiTheme="minorEastAsia" w:hint="eastAsia"/>
              </w:rPr>
              <w:t>搭建直播间，实施8场线上患教，8场患教观看人数总数不少于1000人次。</w:t>
            </w:r>
          </w:p>
          <w:p w:rsidR="00F1675A"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rPr>
              <w:t xml:space="preserve">3. </w:t>
            </w:r>
            <w:r w:rsidRPr="00F1675A">
              <w:rPr>
                <w:rFonts w:asciiTheme="minorEastAsia" w:eastAsiaTheme="minorEastAsia" w:hAnsiTheme="minorEastAsia" w:hint="eastAsia"/>
              </w:rPr>
              <w:t>患教会前后进行预热宣传和回顾总结</w:t>
            </w:r>
          </w:p>
          <w:p w:rsidR="00F1675A"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rPr>
              <w:t xml:space="preserve">4. </w:t>
            </w:r>
            <w:r w:rsidRPr="00F1675A">
              <w:rPr>
                <w:rFonts w:asciiTheme="minorEastAsia" w:eastAsiaTheme="minorEastAsia" w:hAnsiTheme="minorEastAsia" w:hint="eastAsia"/>
              </w:rPr>
              <w:t>收集患者的问题，协助专家在直播中进行解答</w:t>
            </w:r>
          </w:p>
          <w:p w:rsidR="009009E2" w:rsidRPr="00F1675A" w:rsidRDefault="00F1675A" w:rsidP="00F1675A">
            <w:pPr>
              <w:pStyle w:val="Default"/>
              <w:ind w:firstLineChars="200" w:firstLine="480"/>
              <w:rPr>
                <w:rFonts w:asciiTheme="minorEastAsia" w:eastAsiaTheme="minorEastAsia" w:hAnsiTheme="minorEastAsia"/>
              </w:rPr>
            </w:pPr>
            <w:r w:rsidRPr="00F1675A">
              <w:rPr>
                <w:rFonts w:asciiTheme="minorEastAsia" w:eastAsiaTheme="minorEastAsia" w:hAnsiTheme="minorEastAsia"/>
              </w:rPr>
              <w:t xml:space="preserve">5. </w:t>
            </w:r>
            <w:r w:rsidRPr="00F1675A">
              <w:rPr>
                <w:rFonts w:asciiTheme="minorEastAsia" w:eastAsiaTheme="minorEastAsia" w:hAnsiTheme="minorEastAsia" w:hint="eastAsia"/>
              </w:rPr>
              <w:t>形成回顾视频，可供患者和公众长期观看</w:t>
            </w:r>
          </w:p>
        </w:tc>
      </w:tr>
      <w:tr w:rsidR="009009E2" w:rsidTr="00013019">
        <w:trPr>
          <w:trHeight w:val="613"/>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项目交付物</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D617A5" w:rsidRDefault="00F1675A" w:rsidP="00F1675A">
            <w:pPr>
              <w:pStyle w:val="Default"/>
              <w:ind w:firstLineChars="200" w:firstLine="480"/>
              <w:rPr>
                <w:rFonts w:asciiTheme="minorEastAsia" w:eastAsiaTheme="minorEastAsia" w:hAnsiTheme="minorEastAsia"/>
              </w:rPr>
            </w:pPr>
            <w:r>
              <w:rPr>
                <w:rFonts w:asciiTheme="minorEastAsia" w:eastAsiaTheme="minorEastAsia" w:hAnsiTheme="minorEastAsia" w:hint="eastAsia"/>
              </w:rPr>
              <w:t>包括但不限于：患教会海报和主图设计稿；会议专家发言截屏；</w:t>
            </w:r>
            <w:r>
              <w:rPr>
                <w:rFonts w:asciiTheme="minorEastAsia" w:eastAsiaTheme="minorEastAsia" w:hAnsiTheme="minorEastAsia" w:hint="eastAsia"/>
              </w:rPr>
              <w:t>专家PPT；</w:t>
            </w:r>
            <w:r>
              <w:rPr>
                <w:rFonts w:asciiTheme="minorEastAsia" w:eastAsiaTheme="minorEastAsia" w:hAnsiTheme="minorEastAsia" w:hint="eastAsia"/>
              </w:rPr>
              <w:t>专家劳务协议；项目中期报告和总结；中期和末期结算单；参会人员名单。</w:t>
            </w:r>
          </w:p>
        </w:tc>
      </w:tr>
      <w:tr w:rsidR="009009E2" w:rsidTr="00013019">
        <w:trPr>
          <w:trHeight w:val="537"/>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项目周期</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Default="00F1675A" w:rsidP="003430DB">
            <w:pPr>
              <w:pStyle w:val="Default"/>
              <w:ind w:firstLineChars="200" w:firstLine="480"/>
              <w:rPr>
                <w:rFonts w:ascii="等线" w:eastAsia="等线" w:hAnsi="等线"/>
                <w:sz w:val="18"/>
                <w:szCs w:val="18"/>
              </w:rPr>
            </w:pPr>
            <w:r>
              <w:rPr>
                <w:rFonts w:asciiTheme="minorEastAsia" w:eastAsiaTheme="minorEastAsia" w:hAnsiTheme="minorEastAsia" w:hint="eastAsia"/>
              </w:rPr>
              <w:t>项目签署之日起</w:t>
            </w:r>
            <w:r w:rsidR="00D82B2F" w:rsidRPr="008A3ED3">
              <w:rPr>
                <w:rFonts w:asciiTheme="minorEastAsia" w:eastAsiaTheme="minorEastAsia" w:hAnsiTheme="minorEastAsia" w:hint="eastAsia"/>
              </w:rPr>
              <w:t>至2</w:t>
            </w:r>
            <w:r w:rsidR="00D82B2F" w:rsidRPr="008A3ED3">
              <w:rPr>
                <w:rFonts w:asciiTheme="minorEastAsia" w:eastAsiaTheme="minorEastAsia" w:hAnsiTheme="minorEastAsia"/>
              </w:rPr>
              <w:t>0</w:t>
            </w:r>
            <w:r>
              <w:rPr>
                <w:rFonts w:asciiTheme="minorEastAsia" w:eastAsiaTheme="minorEastAsia" w:hAnsiTheme="minorEastAsia"/>
              </w:rPr>
              <w:t>23</w:t>
            </w:r>
            <w:r w:rsidR="00D82B2F" w:rsidRPr="008A3ED3">
              <w:rPr>
                <w:rFonts w:asciiTheme="minorEastAsia" w:eastAsiaTheme="minorEastAsia" w:hAnsiTheme="minorEastAsia" w:hint="eastAsia"/>
              </w:rPr>
              <w:t>年</w:t>
            </w:r>
            <w:r w:rsidR="00013019">
              <w:rPr>
                <w:rFonts w:asciiTheme="minorEastAsia" w:eastAsiaTheme="minorEastAsia" w:hAnsiTheme="minorEastAsia" w:hint="eastAsia"/>
              </w:rPr>
              <w:t>1</w:t>
            </w:r>
            <w:r>
              <w:rPr>
                <w:rFonts w:asciiTheme="minorEastAsia" w:eastAsiaTheme="minorEastAsia" w:hAnsiTheme="minorEastAsia" w:hint="eastAsia"/>
              </w:rPr>
              <w:t>2</w:t>
            </w:r>
            <w:r w:rsidR="00D82B2F" w:rsidRPr="008A3ED3">
              <w:rPr>
                <w:rFonts w:asciiTheme="minorEastAsia" w:eastAsiaTheme="minorEastAsia" w:hAnsiTheme="minorEastAsia" w:hint="eastAsia"/>
              </w:rPr>
              <w:t>月</w:t>
            </w:r>
            <w:r>
              <w:rPr>
                <w:rFonts w:asciiTheme="minorEastAsia" w:eastAsiaTheme="minorEastAsia" w:hAnsiTheme="minorEastAsia"/>
              </w:rPr>
              <w:t>31</w:t>
            </w:r>
            <w:r w:rsidR="00D82B2F" w:rsidRPr="008A3ED3">
              <w:rPr>
                <w:rFonts w:asciiTheme="minorEastAsia" w:eastAsiaTheme="minorEastAsia" w:hAnsiTheme="minorEastAsia" w:hint="eastAsia"/>
              </w:rPr>
              <w:t>日</w:t>
            </w:r>
          </w:p>
        </w:tc>
      </w:tr>
      <w:tr w:rsidR="009009E2" w:rsidTr="001129B8">
        <w:trPr>
          <w:trHeight w:val="2098"/>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对项目合作方的资质要求</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3430DB">
            <w:pPr>
              <w:pStyle w:val="Default"/>
              <w:ind w:firstLineChars="200" w:firstLine="480"/>
              <w:rPr>
                <w:rFonts w:asciiTheme="minorEastAsia" w:eastAsiaTheme="minorEastAsia" w:hAnsiTheme="minorEastAsia"/>
              </w:rPr>
            </w:pPr>
            <w:r w:rsidRPr="00013019">
              <w:rPr>
                <w:rFonts w:asciiTheme="minorEastAsia" w:eastAsiaTheme="minorEastAsia" w:hAnsiTheme="minorEastAsia" w:hint="eastAsia"/>
              </w:rPr>
              <w:t>相关领域经验</w:t>
            </w:r>
          </w:p>
          <w:p w:rsidR="009009E2" w:rsidRPr="00013019" w:rsidRDefault="00F1675A"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Pr>
                <w:rFonts w:asciiTheme="minorEastAsia" w:eastAsiaTheme="minorEastAsia" w:hAnsiTheme="minorEastAsia" w:hint="eastAsia"/>
                <w:color w:val="000000"/>
              </w:rPr>
              <w:t>执行过患教会，尤其是淋巴瘤方面的</w:t>
            </w:r>
          </w:p>
          <w:p w:rsidR="009009E2" w:rsidRPr="00013019" w:rsidRDefault="009009E2" w:rsidP="00013019">
            <w:pPr>
              <w:adjustRightInd w:val="0"/>
              <w:snapToGrid w:val="0"/>
              <w:spacing w:afterLines="50" w:after="156" w:line="240" w:lineRule="atLeast"/>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稳定的执行团队</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为项目提供专属团队，与项目委托方保持日常工作沟通和紧密合作。</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rPr>
              <w:t>项目管理经验较强，可以在指定时间完成委托方的项目要求。</w:t>
            </w:r>
          </w:p>
        </w:tc>
      </w:tr>
      <w:tr w:rsidR="009009E2" w:rsidTr="001129B8">
        <w:trPr>
          <w:trHeight w:val="2324"/>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对项目计划书的要求</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根据以上项目需求，烦请贵方的项目计划书包括以下内容：</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对项目需求的理解</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项目目标、内容、方法、实施方案、质量控制措施、时间安排和具体交付物</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项目报价</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项目团队情况</w:t>
            </w:r>
          </w:p>
          <w:p w:rsidR="009009E2" w:rsidRPr="00013019"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Theme="minorEastAsia" w:eastAsiaTheme="minorEastAsia" w:hAnsiTheme="minorEastAsia"/>
                <w:color w:val="000000"/>
              </w:rPr>
            </w:pPr>
            <w:r w:rsidRPr="00013019">
              <w:rPr>
                <w:rFonts w:asciiTheme="minorEastAsia" w:eastAsiaTheme="minorEastAsia" w:hAnsiTheme="minorEastAsia" w:hint="eastAsia"/>
                <w:color w:val="000000"/>
              </w:rPr>
              <w:t>相关项目经验</w:t>
            </w:r>
          </w:p>
          <w:p w:rsidR="009009E2" w:rsidRDefault="009009E2" w:rsidP="003430DB">
            <w:pPr>
              <w:pStyle w:val="1"/>
              <w:numPr>
                <w:ilvl w:val="0"/>
                <w:numId w:val="1"/>
              </w:numPr>
              <w:adjustRightInd w:val="0"/>
              <w:snapToGrid w:val="0"/>
              <w:spacing w:before="0" w:beforeAutospacing="0" w:after="0" w:afterAutospacing="0" w:line="240" w:lineRule="atLeast"/>
              <w:ind w:hanging="357"/>
              <w:contextualSpacing w:val="0"/>
              <w:rPr>
                <w:rFonts w:ascii="等线" w:eastAsia="等线" w:hAnsi="等线"/>
                <w:sz w:val="18"/>
                <w:szCs w:val="18"/>
              </w:rPr>
            </w:pPr>
            <w:r w:rsidRPr="00013019">
              <w:rPr>
                <w:rFonts w:asciiTheme="minorEastAsia" w:eastAsiaTheme="minorEastAsia" w:hAnsiTheme="minorEastAsia" w:hint="eastAsia"/>
                <w:color w:val="000000"/>
              </w:rPr>
              <w:t>对项目的其他建议</w:t>
            </w:r>
          </w:p>
        </w:tc>
      </w:tr>
      <w:tr w:rsidR="009009E2" w:rsidTr="001129B8">
        <w:trPr>
          <w:trHeight w:val="723"/>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项目评审流程</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本项目将公开招标，</w:t>
            </w:r>
            <w:r w:rsidR="00F858D4" w:rsidRPr="00013019">
              <w:rPr>
                <w:rFonts w:asciiTheme="minorEastAsia" w:eastAsiaTheme="minorEastAsia" w:hAnsiTheme="minorEastAsia" w:hint="eastAsia"/>
                <w:color w:val="000000"/>
                <w:sz w:val="24"/>
                <w:szCs w:val="24"/>
              </w:rPr>
              <w:t>为期7天。</w:t>
            </w:r>
            <w:r w:rsidRPr="00013019">
              <w:rPr>
                <w:rFonts w:asciiTheme="minorEastAsia" w:eastAsiaTheme="minorEastAsia" w:hAnsiTheme="minorEastAsia" w:hint="eastAsia"/>
                <w:color w:val="000000"/>
                <w:sz w:val="24"/>
                <w:szCs w:val="24"/>
              </w:rPr>
              <w:t>根据应标情况开展项目评标（有效投标单位超过两家）或者竞争性谈判（有效投标单位小于三家）。</w:t>
            </w:r>
          </w:p>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评标或竞争性谈判将由评标/谈判专家委员根据相关规定开展，并在评审结束之</w:t>
            </w:r>
            <w:r w:rsidR="00F858D4" w:rsidRPr="00013019">
              <w:rPr>
                <w:rFonts w:asciiTheme="minorEastAsia" w:eastAsiaTheme="minorEastAsia" w:hAnsiTheme="minorEastAsia" w:hint="eastAsia"/>
                <w:color w:val="000000"/>
                <w:sz w:val="24"/>
                <w:szCs w:val="24"/>
              </w:rPr>
              <w:t>日起3</w:t>
            </w:r>
            <w:r w:rsidRPr="00013019">
              <w:rPr>
                <w:rFonts w:asciiTheme="minorEastAsia" w:eastAsiaTheme="minorEastAsia" w:hAnsiTheme="minorEastAsia" w:hint="eastAsia"/>
                <w:color w:val="000000"/>
                <w:sz w:val="24"/>
                <w:szCs w:val="24"/>
              </w:rPr>
              <w:t>个工作日内审定中标单位。</w:t>
            </w:r>
          </w:p>
          <w:p w:rsidR="009009E2" w:rsidRDefault="009009E2" w:rsidP="00013019">
            <w:pPr>
              <w:spacing w:afterLines="50" w:after="156"/>
              <w:ind w:firstLineChars="200" w:firstLine="480"/>
              <w:rPr>
                <w:rFonts w:ascii="等线" w:eastAsia="等线" w:hAnsi="等线"/>
                <w:sz w:val="18"/>
                <w:szCs w:val="18"/>
              </w:rPr>
            </w:pPr>
            <w:r w:rsidRPr="00013019">
              <w:rPr>
                <w:rFonts w:asciiTheme="minorEastAsia" w:eastAsiaTheme="minorEastAsia" w:hAnsiTheme="minorEastAsia" w:hint="eastAsia"/>
                <w:color w:val="000000"/>
                <w:sz w:val="24"/>
                <w:szCs w:val="24"/>
              </w:rPr>
              <w:t>采购结果公示将由北京新阳光慈善基金会的官方网站上统一发布。</w:t>
            </w:r>
          </w:p>
        </w:tc>
      </w:tr>
      <w:tr w:rsidR="009009E2" w:rsidTr="001129B8">
        <w:trPr>
          <w:trHeight w:val="1020"/>
          <w:jc w:val="center"/>
        </w:trPr>
        <w:tc>
          <w:tcPr>
            <w:tcW w:w="929" w:type="pct"/>
            <w:tcBorders>
              <w:top w:val="single" w:sz="4" w:space="0" w:color="auto"/>
              <w:left w:val="single" w:sz="4" w:space="0" w:color="auto"/>
              <w:bottom w:val="single" w:sz="4" w:space="0" w:color="auto"/>
              <w:right w:val="single" w:sz="4" w:space="0" w:color="auto"/>
            </w:tcBorders>
            <w:vAlign w:val="center"/>
          </w:tcPr>
          <w:p w:rsidR="009009E2" w:rsidRPr="003430DB" w:rsidRDefault="009009E2" w:rsidP="001129B8">
            <w:pPr>
              <w:spacing w:afterLines="50" w:after="156"/>
              <w:ind w:left="57"/>
              <w:rPr>
                <w:rFonts w:ascii="等线" w:eastAsia="等线" w:hAnsi="等线"/>
                <w:b/>
                <w:szCs w:val="21"/>
              </w:rPr>
            </w:pPr>
            <w:r w:rsidRPr="003430DB">
              <w:rPr>
                <w:rFonts w:ascii="等线" w:eastAsia="等线" w:hAnsi="等线" w:hint="eastAsia"/>
                <w:b/>
                <w:szCs w:val="21"/>
              </w:rPr>
              <w:t>项目联络人</w:t>
            </w:r>
          </w:p>
        </w:tc>
        <w:tc>
          <w:tcPr>
            <w:tcW w:w="4071" w:type="pct"/>
            <w:tcBorders>
              <w:top w:val="single" w:sz="4" w:space="0" w:color="auto"/>
              <w:left w:val="single" w:sz="4" w:space="0" w:color="auto"/>
              <w:bottom w:val="single" w:sz="4" w:space="0" w:color="auto"/>
              <w:right w:val="single" w:sz="4" w:space="0" w:color="auto"/>
            </w:tcBorders>
            <w:vAlign w:val="center"/>
          </w:tcPr>
          <w:p w:rsidR="009009E2" w:rsidRPr="00013019" w:rsidRDefault="009009E2" w:rsidP="00013019">
            <w:pPr>
              <w:spacing w:afterLines="50" w:after="156"/>
              <w:ind w:firstLineChars="200" w:firstLine="480"/>
              <w:rPr>
                <w:rFonts w:asciiTheme="minorEastAsia" w:eastAsiaTheme="minorEastAsia" w:hAnsiTheme="minorEastAsia"/>
                <w:color w:val="000000"/>
                <w:sz w:val="24"/>
                <w:szCs w:val="24"/>
              </w:rPr>
            </w:pPr>
            <w:r w:rsidRPr="00013019">
              <w:rPr>
                <w:rFonts w:asciiTheme="minorEastAsia" w:eastAsiaTheme="minorEastAsia" w:hAnsiTheme="minorEastAsia" w:hint="eastAsia"/>
                <w:color w:val="000000"/>
                <w:sz w:val="24"/>
                <w:szCs w:val="24"/>
              </w:rPr>
              <w:t>联络人：</w:t>
            </w:r>
            <w:r w:rsidR="00F858D4" w:rsidRPr="00013019">
              <w:rPr>
                <w:rFonts w:asciiTheme="minorEastAsia" w:eastAsiaTheme="minorEastAsia" w:hAnsiTheme="minorEastAsia" w:hint="eastAsia"/>
                <w:color w:val="000000"/>
                <w:sz w:val="24"/>
                <w:szCs w:val="24"/>
              </w:rPr>
              <w:t>范依华</w:t>
            </w:r>
          </w:p>
          <w:p w:rsidR="009009E2" w:rsidRDefault="009009E2" w:rsidP="00013019">
            <w:pPr>
              <w:spacing w:afterLines="50" w:after="156"/>
              <w:ind w:firstLineChars="200" w:firstLine="480"/>
              <w:rPr>
                <w:rFonts w:ascii="等线" w:eastAsia="等线" w:hAnsi="等线"/>
                <w:sz w:val="18"/>
                <w:szCs w:val="18"/>
              </w:rPr>
            </w:pPr>
            <w:r w:rsidRPr="00013019">
              <w:rPr>
                <w:rFonts w:asciiTheme="minorEastAsia" w:eastAsiaTheme="minorEastAsia" w:hAnsiTheme="minorEastAsia" w:hint="eastAsia"/>
                <w:color w:val="000000"/>
                <w:sz w:val="24"/>
                <w:szCs w:val="24"/>
              </w:rPr>
              <w:t>联络方式：</w:t>
            </w:r>
            <w:r w:rsidR="00F858D4" w:rsidRPr="00013019">
              <w:rPr>
                <w:rFonts w:asciiTheme="minorEastAsia" w:eastAsiaTheme="minorEastAsia" w:hAnsiTheme="minorEastAsia"/>
                <w:color w:val="000000"/>
                <w:sz w:val="24"/>
                <w:szCs w:val="24"/>
              </w:rPr>
              <w:t>yihua.fan@isun.org</w:t>
            </w:r>
          </w:p>
        </w:tc>
      </w:tr>
      <w:bookmarkEnd w:id="0"/>
    </w:tbl>
    <w:p w:rsidR="009009E2" w:rsidRDefault="009009E2" w:rsidP="009009E2">
      <w:pPr>
        <w:rPr>
          <w:rFonts w:ascii="等线" w:eastAsia="等线" w:hAnsi="等线" w:cs="等线" w:hint="eastAsia"/>
          <w:sz w:val="24"/>
        </w:rPr>
      </w:pPr>
    </w:p>
    <w:sectPr w:rsidR="009009E2" w:rsidSect="00F1675A">
      <w:pgSz w:w="11906" w:h="16838"/>
      <w:pgMar w:top="993" w:right="17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4C" w:rsidRDefault="00D1354C" w:rsidP="008A3ED3">
      <w:r>
        <w:separator/>
      </w:r>
    </w:p>
  </w:endnote>
  <w:endnote w:type="continuationSeparator" w:id="0">
    <w:p w:rsidR="00D1354C" w:rsidRDefault="00D1354C" w:rsidP="008A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4C" w:rsidRDefault="00D1354C" w:rsidP="008A3ED3">
      <w:r>
        <w:separator/>
      </w:r>
    </w:p>
  </w:footnote>
  <w:footnote w:type="continuationSeparator" w:id="0">
    <w:p w:rsidR="00D1354C" w:rsidRDefault="00D1354C" w:rsidP="008A3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04EC9"/>
    <w:multiLevelType w:val="multilevel"/>
    <w:tmpl w:val="42404EC9"/>
    <w:lvl w:ilvl="0">
      <w:start w:val="1"/>
      <w:numFmt w:val="bullet"/>
      <w:lvlText w:val=""/>
      <w:lvlJc w:val="left"/>
      <w:pPr>
        <w:ind w:left="760" w:hanging="360"/>
      </w:pPr>
      <w:rPr>
        <w:rFonts w:ascii="Wingdings" w:hAnsi="Wingdings" w:hint="default"/>
      </w:rPr>
    </w:lvl>
    <w:lvl w:ilvl="1">
      <w:start w:val="1"/>
      <w:numFmt w:val="bullet"/>
      <w:lvlText w:val="o"/>
      <w:lvlJc w:val="left"/>
      <w:pPr>
        <w:ind w:left="1487" w:hanging="360"/>
      </w:pPr>
      <w:rPr>
        <w:rFonts w:ascii="Courier New" w:hAnsi="Courier New" w:cs="Courier New" w:hint="default"/>
      </w:rPr>
    </w:lvl>
    <w:lvl w:ilvl="2">
      <w:numFmt w:val="bullet"/>
      <w:lvlText w:val="–"/>
      <w:lvlJc w:val="left"/>
      <w:pPr>
        <w:ind w:left="2567" w:hanging="720"/>
      </w:pPr>
      <w:rPr>
        <w:rFonts w:ascii="宋体" w:eastAsia="宋体" w:hAnsi="宋体" w:cs="Arial" w:hint="eastAsia"/>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E2"/>
    <w:rsid w:val="00013019"/>
    <w:rsid w:val="00156374"/>
    <w:rsid w:val="00247CB3"/>
    <w:rsid w:val="003430DB"/>
    <w:rsid w:val="00470EF4"/>
    <w:rsid w:val="00490218"/>
    <w:rsid w:val="004C27AC"/>
    <w:rsid w:val="008A3ED3"/>
    <w:rsid w:val="009009E2"/>
    <w:rsid w:val="00D1354C"/>
    <w:rsid w:val="00D617A5"/>
    <w:rsid w:val="00D82B2F"/>
    <w:rsid w:val="00EA148B"/>
    <w:rsid w:val="00F1675A"/>
    <w:rsid w:val="00F8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4352D0-E7C0-4EA5-8994-856BDC5E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9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qFormat/>
    <w:rsid w:val="009009E2"/>
    <w:pPr>
      <w:spacing w:before="100" w:beforeAutospacing="1" w:after="100" w:afterAutospacing="1"/>
      <w:ind w:left="720"/>
      <w:contextualSpacing/>
    </w:pPr>
    <w:rPr>
      <w:szCs w:val="21"/>
    </w:rPr>
  </w:style>
  <w:style w:type="paragraph" w:styleId="a3">
    <w:name w:val="header"/>
    <w:basedOn w:val="a"/>
    <w:link w:val="Char"/>
    <w:uiPriority w:val="99"/>
    <w:unhideWhenUsed/>
    <w:rsid w:val="008A3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ED3"/>
    <w:rPr>
      <w:rFonts w:ascii="Calibri" w:eastAsia="宋体" w:hAnsi="Calibri" w:cs="Times New Roman"/>
      <w:sz w:val="18"/>
      <w:szCs w:val="18"/>
    </w:rPr>
  </w:style>
  <w:style w:type="paragraph" w:styleId="a4">
    <w:name w:val="footer"/>
    <w:basedOn w:val="a"/>
    <w:link w:val="Char0"/>
    <w:uiPriority w:val="99"/>
    <w:unhideWhenUsed/>
    <w:rsid w:val="008A3ED3"/>
    <w:pPr>
      <w:tabs>
        <w:tab w:val="center" w:pos="4153"/>
        <w:tab w:val="right" w:pos="8306"/>
      </w:tabs>
      <w:snapToGrid w:val="0"/>
      <w:jc w:val="left"/>
    </w:pPr>
    <w:rPr>
      <w:sz w:val="18"/>
      <w:szCs w:val="18"/>
    </w:rPr>
  </w:style>
  <w:style w:type="character" w:customStyle="1" w:styleId="Char0">
    <w:name w:val="页脚 Char"/>
    <w:basedOn w:val="a0"/>
    <w:link w:val="a4"/>
    <w:uiPriority w:val="99"/>
    <w:rsid w:val="008A3ED3"/>
    <w:rPr>
      <w:rFonts w:ascii="Calibri" w:eastAsia="宋体" w:hAnsi="Calibri" w:cs="Times New Roman"/>
      <w:sz w:val="18"/>
      <w:szCs w:val="18"/>
    </w:rPr>
  </w:style>
  <w:style w:type="paragraph" w:customStyle="1" w:styleId="Default">
    <w:name w:val="Default"/>
    <w:rsid w:val="008A3ED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2023-06-01T07:33:00Z</dcterms:created>
  <dcterms:modified xsi:type="dcterms:W3CDTF">2023-11-21T08:29:00Z</dcterms:modified>
</cp:coreProperties>
</file>