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725"/>
        </w:tabs>
        <w:autoSpaceDE w:val="0"/>
        <w:autoSpaceDN w:val="0"/>
        <w:adjustRightInd w:val="0"/>
        <w:spacing w:line="360" w:lineRule="auto"/>
        <w:rPr>
          <w:rFonts w:ascii="Arial" w:hAnsi="Arial" w:cs="Arial"/>
          <w:b/>
          <w:bCs/>
          <w:color w:val="auto"/>
          <w:sz w:val="56"/>
          <w:szCs w:val="56"/>
          <w:lang w:eastAsia="zh-CN" w:bidi="or-IN"/>
        </w:rPr>
      </w:pPr>
    </w:p>
    <w:p>
      <w:pPr>
        <w:jc w:val="center"/>
        <w:rPr>
          <w:rFonts w:hint="eastAsia" w:ascii="Arial" w:hAnsi="Arial" w:cs="Arial"/>
          <w:b/>
          <w:bCs/>
          <w:color w:val="auto"/>
          <w:sz w:val="56"/>
          <w:szCs w:val="56"/>
          <w:lang w:eastAsia="zh-CN" w:bidi="or-IN"/>
        </w:rPr>
      </w:pPr>
    </w:p>
    <w:p>
      <w:pPr>
        <w:jc w:val="center"/>
        <w:rPr>
          <w:rFonts w:hint="eastAsia" w:ascii="Arial" w:hAnsi="Arial" w:cs="Arial"/>
          <w:b/>
          <w:bCs/>
          <w:color w:val="auto"/>
          <w:sz w:val="56"/>
          <w:szCs w:val="56"/>
          <w:lang w:eastAsia="zh-CN" w:bidi="or-IN"/>
        </w:rPr>
      </w:pPr>
    </w:p>
    <w:p>
      <w:pPr>
        <w:widowControl w:val="0"/>
        <w:tabs>
          <w:tab w:val="left" w:pos="1725"/>
        </w:tabs>
        <w:autoSpaceDE w:val="0"/>
        <w:autoSpaceDN w:val="0"/>
        <w:adjustRightInd w:val="0"/>
        <w:spacing w:line="360" w:lineRule="auto"/>
        <w:jc w:val="center"/>
        <w:rPr>
          <w:rFonts w:hint="eastAsia" w:ascii="Arial" w:hAnsi="Arial" w:cs="Arial"/>
          <w:b/>
          <w:bCs/>
          <w:color w:val="auto"/>
          <w:sz w:val="56"/>
          <w:szCs w:val="56"/>
          <w:lang w:eastAsia="zh-CN" w:bidi="or-IN"/>
        </w:rPr>
      </w:pPr>
    </w:p>
    <w:p>
      <w:pPr>
        <w:widowControl w:val="0"/>
        <w:tabs>
          <w:tab w:val="left" w:pos="1725"/>
        </w:tabs>
        <w:autoSpaceDE w:val="0"/>
        <w:autoSpaceDN w:val="0"/>
        <w:adjustRightInd w:val="0"/>
        <w:spacing w:line="360" w:lineRule="auto"/>
        <w:jc w:val="center"/>
        <w:rPr>
          <w:rFonts w:hint="eastAsia" w:ascii="Arial" w:hAnsi="Arial" w:cs="Arial"/>
          <w:b/>
          <w:bCs/>
          <w:color w:val="auto"/>
          <w:sz w:val="56"/>
          <w:szCs w:val="56"/>
          <w:lang w:eastAsia="zh-CN" w:bidi="or-IN"/>
        </w:rPr>
      </w:pPr>
      <w:r>
        <w:rPr>
          <w:rFonts w:hint="eastAsia" w:ascii="Arial" w:hAnsi="Arial" w:cs="Arial"/>
          <w:b/>
          <w:bCs/>
          <w:color w:val="auto"/>
          <w:sz w:val="56"/>
          <w:szCs w:val="56"/>
          <w:lang w:eastAsia="zh-CN" w:bidi="or-IN"/>
        </w:rPr>
        <w:t>2021年狼疮性肾炎</w:t>
      </w:r>
    </w:p>
    <w:p>
      <w:pPr>
        <w:widowControl w:val="0"/>
        <w:tabs>
          <w:tab w:val="left" w:pos="1725"/>
        </w:tabs>
        <w:autoSpaceDE w:val="0"/>
        <w:autoSpaceDN w:val="0"/>
        <w:adjustRightInd w:val="0"/>
        <w:spacing w:line="360" w:lineRule="auto"/>
        <w:jc w:val="center"/>
        <w:rPr>
          <w:rFonts w:hint="eastAsia" w:ascii="Arial" w:hAnsi="Arial" w:cs="Arial"/>
          <w:b/>
          <w:bCs/>
          <w:color w:val="auto"/>
          <w:sz w:val="56"/>
          <w:szCs w:val="56"/>
          <w:lang w:eastAsia="zh-CN" w:bidi="or-IN"/>
        </w:rPr>
      </w:pPr>
      <w:r>
        <w:rPr>
          <w:rFonts w:hint="eastAsia" w:ascii="Arial" w:hAnsi="Arial" w:cs="Arial"/>
          <w:b/>
          <w:bCs/>
          <w:color w:val="auto"/>
          <w:sz w:val="56"/>
          <w:szCs w:val="56"/>
          <w:lang w:eastAsia="zh-CN" w:bidi="or-IN"/>
        </w:rPr>
        <w:t>规范化诊疗实验班项目</w:t>
      </w:r>
    </w:p>
    <w:p>
      <w:pPr>
        <w:widowControl w:val="0"/>
        <w:tabs>
          <w:tab w:val="left" w:pos="1725"/>
        </w:tabs>
        <w:autoSpaceDE w:val="0"/>
        <w:autoSpaceDN w:val="0"/>
        <w:adjustRightInd w:val="0"/>
        <w:spacing w:line="360" w:lineRule="auto"/>
        <w:jc w:val="center"/>
        <w:rPr>
          <w:rFonts w:ascii="Arial" w:hAnsi="Arial" w:cs="Arial"/>
          <w:b/>
          <w:bCs/>
          <w:color w:val="322D2A" w:themeColor="text1" w:themeShade="80"/>
          <w:sz w:val="56"/>
          <w:szCs w:val="56"/>
          <w:lang w:eastAsia="zh-CN" w:bidi="or-IN"/>
        </w:rPr>
      </w:pPr>
    </w:p>
    <w:p>
      <w:pPr>
        <w:widowControl w:val="0"/>
        <w:tabs>
          <w:tab w:val="left" w:pos="1725"/>
        </w:tabs>
        <w:autoSpaceDE w:val="0"/>
        <w:autoSpaceDN w:val="0"/>
        <w:adjustRightInd w:val="0"/>
        <w:spacing w:line="360" w:lineRule="auto"/>
        <w:jc w:val="center"/>
        <w:rPr>
          <w:rFonts w:ascii="Arial" w:hAnsi="Arial" w:cs="Arial"/>
          <w:b/>
          <w:bCs/>
          <w:color w:val="322D2A" w:themeColor="text1" w:themeShade="80"/>
          <w:sz w:val="56"/>
          <w:szCs w:val="56"/>
          <w:lang w:eastAsia="zh-CN" w:bidi="or-IN"/>
        </w:rPr>
      </w:pPr>
    </w:p>
    <w:p>
      <w:pPr>
        <w:widowControl w:val="0"/>
        <w:tabs>
          <w:tab w:val="left" w:pos="1725"/>
        </w:tabs>
        <w:autoSpaceDE w:val="0"/>
        <w:autoSpaceDN w:val="0"/>
        <w:adjustRightInd w:val="0"/>
        <w:spacing w:line="360" w:lineRule="auto"/>
        <w:jc w:val="center"/>
        <w:rPr>
          <w:rFonts w:ascii="Arial" w:hAnsi="Arial" w:cs="Arial"/>
          <w:b/>
          <w:bCs/>
          <w:color w:val="auto"/>
          <w:sz w:val="56"/>
          <w:szCs w:val="56"/>
          <w:lang w:eastAsia="zh-CN" w:bidi="or-IN"/>
        </w:rPr>
      </w:pPr>
      <w:r>
        <w:rPr>
          <w:rFonts w:hint="eastAsia" w:ascii="Arial" w:hAnsi="Arial" w:cs="Arial"/>
          <w:b/>
          <w:bCs/>
          <w:color w:val="auto"/>
          <w:sz w:val="56"/>
          <w:szCs w:val="56"/>
          <w:lang w:eastAsia="zh-CN" w:bidi="or-IN"/>
        </w:rPr>
        <w:t>项目需求说明书</w:t>
      </w:r>
    </w:p>
    <w:p>
      <w:pPr>
        <w:spacing w:after="200" w:line="276" w:lineRule="auto"/>
        <w:rPr>
          <w:rFonts w:ascii="Arial" w:hAnsi="Arial" w:cs="Arial"/>
          <w:b/>
          <w:bCs/>
          <w:color w:val="auto"/>
          <w:sz w:val="28"/>
          <w:szCs w:val="22"/>
          <w:u w:val="single"/>
          <w:lang w:eastAsia="zh-CN" w:bidi="or-IN"/>
        </w:rPr>
      </w:pPr>
    </w:p>
    <w:p>
      <w:pPr>
        <w:spacing w:after="200" w:line="276" w:lineRule="auto"/>
        <w:rPr>
          <w:rFonts w:ascii="Arial" w:hAnsi="Arial" w:cs="Arial"/>
          <w:b/>
          <w:bCs/>
          <w:color w:val="auto"/>
          <w:sz w:val="28"/>
          <w:szCs w:val="22"/>
          <w:u w:val="single"/>
          <w:lang w:eastAsia="zh-CN" w:bidi="or-IN"/>
        </w:rPr>
      </w:pPr>
    </w:p>
    <w:p>
      <w:pPr>
        <w:spacing w:after="200" w:line="276" w:lineRule="auto"/>
        <w:rPr>
          <w:rFonts w:ascii="Arial" w:hAnsi="Arial" w:cs="Arial"/>
          <w:b/>
          <w:bCs/>
          <w:color w:val="auto"/>
          <w:sz w:val="28"/>
          <w:szCs w:val="22"/>
          <w:u w:val="single"/>
          <w:lang w:eastAsia="zh-CN" w:bidi="or-IN"/>
        </w:rPr>
      </w:pPr>
    </w:p>
    <w:p>
      <w:pPr>
        <w:spacing w:after="200" w:line="276" w:lineRule="auto"/>
        <w:rPr>
          <w:rFonts w:ascii="Arial" w:hAnsi="Arial" w:cs="Arial"/>
          <w:b/>
          <w:bCs/>
          <w:color w:val="auto"/>
          <w:sz w:val="28"/>
          <w:szCs w:val="22"/>
          <w:u w:val="single"/>
          <w:lang w:eastAsia="zh-CN" w:bidi="or-IN"/>
        </w:rPr>
      </w:pPr>
    </w:p>
    <w:p>
      <w:pPr>
        <w:spacing w:line="560" w:lineRule="exact"/>
        <w:jc w:val="center"/>
        <w:rPr>
          <w:rFonts w:asciiTheme="minorEastAsia" w:hAnsiTheme="minorEastAsia"/>
          <w:b/>
          <w:color w:val="322D2A" w:themeColor="text1" w:themeShade="80"/>
          <w:sz w:val="32"/>
          <w:szCs w:val="32"/>
          <w:lang w:val="en-AU" w:eastAsia="zh-CN"/>
        </w:rPr>
      </w:pPr>
      <w:r>
        <w:rPr>
          <w:rFonts w:hint="eastAsia" w:asciiTheme="minorEastAsia" w:hAnsiTheme="minorEastAsia"/>
          <w:b/>
          <w:color w:val="322D2A" w:themeColor="text1" w:themeShade="80"/>
          <w:sz w:val="32"/>
          <w:szCs w:val="32"/>
          <w:lang w:val="en-AU" w:eastAsia="zh-CN"/>
        </w:rPr>
        <w:t>北京新阳光慈善基金会</w:t>
      </w:r>
    </w:p>
    <w:p>
      <w:pPr>
        <w:spacing w:after="200" w:line="276" w:lineRule="auto"/>
        <w:rPr>
          <w:rFonts w:ascii="Arial" w:hAnsi="Arial" w:cs="Arial"/>
          <w:b/>
          <w:bCs/>
          <w:color w:val="auto"/>
          <w:sz w:val="28"/>
          <w:szCs w:val="22"/>
          <w:u w:val="single"/>
          <w:lang w:val="en-AU" w:eastAsia="zh-CN" w:bidi="or-IN"/>
        </w:rPr>
      </w:pPr>
    </w:p>
    <w:p>
      <w:pPr>
        <w:spacing w:after="200" w:line="276" w:lineRule="auto"/>
        <w:rPr>
          <w:rFonts w:ascii="Arial" w:hAnsi="Arial" w:cs="Arial"/>
          <w:b/>
          <w:bCs/>
          <w:color w:val="auto"/>
          <w:sz w:val="28"/>
          <w:szCs w:val="22"/>
          <w:u w:val="single"/>
          <w:lang w:val="en-AU" w:eastAsia="zh-CN" w:bidi="or-IN"/>
        </w:rPr>
      </w:pPr>
    </w:p>
    <w:p>
      <w:pPr>
        <w:spacing w:after="200" w:line="276" w:lineRule="auto"/>
        <w:rPr>
          <w:rFonts w:ascii="Arial" w:hAnsi="Arial" w:cs="Arial"/>
          <w:b/>
          <w:color w:val="auto"/>
          <w:sz w:val="22"/>
          <w:szCs w:val="22"/>
          <w:u w:val="single"/>
          <w:lang w:eastAsia="zh-CN"/>
        </w:rPr>
      </w:pPr>
      <w:r>
        <w:rPr>
          <w:rFonts w:ascii="Arial" w:hAnsi="Arial" w:cs="Arial"/>
          <w:b/>
          <w:bCs/>
          <w:color w:val="auto"/>
          <w:sz w:val="28"/>
          <w:szCs w:val="22"/>
          <w:u w:val="single"/>
          <w:lang w:val="en-AU" w:eastAsia="zh-CN" w:bidi="or-IN"/>
        </w:rPr>
        <w:br w:type="page"/>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6"/>
        <w:gridCol w:w="8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929" w:type="pct"/>
            <w:vAlign w:val="center"/>
          </w:tcPr>
          <w:p>
            <w:pPr>
              <w:spacing w:after="120" w:afterLines="50"/>
              <w:ind w:left="57"/>
              <w:jc w:val="both"/>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项目名称</w:t>
            </w:r>
          </w:p>
        </w:tc>
        <w:tc>
          <w:tcPr>
            <w:tcW w:w="4071" w:type="pct"/>
            <w:vAlign w:val="center"/>
          </w:tcPr>
          <w:p>
            <w:pPr>
              <w:rPr>
                <w:rFonts w:ascii="微软雅黑" w:hAnsi="微软雅黑" w:eastAsia="微软雅黑" w:cs="Arial"/>
                <w:iCs/>
                <w:color w:val="auto"/>
                <w:sz w:val="24"/>
                <w:szCs w:val="24"/>
                <w:lang w:val="en-US" w:eastAsia="zh-CN"/>
              </w:rPr>
            </w:pPr>
            <w:r>
              <w:rPr>
                <w:rFonts w:hint="eastAsia" w:ascii="微软雅黑" w:hAnsi="微软雅黑" w:eastAsia="微软雅黑" w:cs="Arial"/>
                <w:color w:val="000000"/>
                <w:sz w:val="24"/>
                <w:szCs w:val="24"/>
                <w:lang w:val="zh-CN" w:eastAsia="zh-CN"/>
              </w:rPr>
              <w:t>2021年狼疮性肾炎规范化诊疗实验班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5" w:hRule="atLeast"/>
          <w:jc w:val="center"/>
        </w:trPr>
        <w:tc>
          <w:tcPr>
            <w:tcW w:w="929" w:type="pct"/>
            <w:vAlign w:val="center"/>
          </w:tcPr>
          <w:p>
            <w:pPr>
              <w:spacing w:after="120" w:afterLines="50"/>
              <w:ind w:left="57"/>
              <w:jc w:val="both"/>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项目背景</w:t>
            </w:r>
          </w:p>
        </w:tc>
        <w:tc>
          <w:tcPr>
            <w:tcW w:w="4071" w:type="pct"/>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ascii="微软雅黑" w:hAnsi="微软雅黑" w:eastAsia="微软雅黑" w:cs="Arial"/>
                <w:color w:val="000000"/>
                <w:sz w:val="24"/>
                <w:szCs w:val="24"/>
                <w:lang w:val="zh-TW" w:eastAsia="zh-TW"/>
              </w:rPr>
            </w:pPr>
            <w:r>
              <w:rPr>
                <w:rFonts w:hint="eastAsia" w:ascii="微软雅黑" w:hAnsi="微软雅黑" w:eastAsia="微软雅黑" w:cs="Arial"/>
                <w:color w:val="000000"/>
                <w:sz w:val="24"/>
                <w:szCs w:val="24"/>
                <w:lang w:eastAsia="zh-TW"/>
              </w:rPr>
              <w:t>系统性红斑狼疮（systemic lupus erythematosus，SLE）是我国最常见的系统性自身免疫性疾病，人群发病率30.13~70.41/10万人。肾脏是SLE最常累及的器官，40%~60%的SLE患者起病初即有狼疮肾炎（lupus nephritis，LN）。</w:t>
            </w:r>
            <w:r>
              <w:rPr>
                <w:rFonts w:hint="eastAsia" w:ascii="微软雅黑" w:hAnsi="微软雅黑" w:eastAsia="微软雅黑" w:cs="Arial"/>
                <w:color w:val="000000"/>
                <w:sz w:val="24"/>
                <w:szCs w:val="24"/>
                <w:lang w:eastAsia="zh-CN"/>
              </w:rPr>
              <w:t>在我国，近半数SLE并发LN。LN主要由循环或原位免疫复合物沉积引起肾脏损伤所致。我国LN的10年肾存活率81%~98%，是终末期肾脏病（ESRD）的常见病因之一，也是导致SLE患者死亡的重要原因。</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面对狼疮性肾炎，患者有诸多担忧，例如器官损伤不断进展并加重、激素治疗的副作用、治疗费用负担重、免疫抑制剂的副作用等。获取与疾病有关的信息主要来源于看病时与医生交流、与病友交流等。由于信息来源渠道有限，患者在疾病治疗的认知上存在欠缺。例如在用药时间问题上，患者往往由于治疗的经济负担、药物治疗的副作用等原因，自行缩短用药时长，时长远低于医生建议使用时长、中国狼疮性肾炎诊断和治疗指南推荐维持治疗疗程。这就体现出安全规范化的治疗观念对患者的重要性。</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安全规范化的治疗观念的树立需要医生、患者组织的参与。对于医生来说，患者数量多，认知水平参差不齐，医生需反复回答常见问题。医生有患者管理需求，但缺乏标准化的患者管理流程，精力有限；而患者组织作用在患者群体中日益凸显，有较强的患者互动和凝聚力，可以补充医生在患者管理上精力有限的不足。整合医生和患者组织资源，成为了本项目的目标。</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hint="eastAsia"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项目</w:t>
            </w:r>
            <w:r>
              <w:rPr>
                <w:rFonts w:hint="eastAsia" w:ascii="微软雅黑" w:hAnsi="微软雅黑" w:eastAsia="微软雅黑" w:cs="Arial"/>
                <w:color w:val="000000"/>
                <w:sz w:val="24"/>
                <w:szCs w:val="24"/>
                <w:lang w:val="en-US" w:eastAsia="zh-CN"/>
              </w:rPr>
              <w:t>拟</w:t>
            </w:r>
            <w:r>
              <w:rPr>
                <w:rFonts w:hint="eastAsia" w:ascii="微软雅黑" w:hAnsi="微软雅黑" w:eastAsia="微软雅黑" w:cs="Arial"/>
                <w:color w:val="000000"/>
                <w:sz w:val="24"/>
                <w:szCs w:val="24"/>
                <w:lang w:eastAsia="zh-CN"/>
              </w:rPr>
              <w:t>选取试点</w:t>
            </w:r>
            <w:r>
              <w:rPr>
                <w:rFonts w:hint="eastAsia" w:ascii="微软雅黑" w:hAnsi="微软雅黑" w:eastAsia="微软雅黑" w:cs="Arial"/>
                <w:color w:val="000000"/>
                <w:sz w:val="24"/>
                <w:szCs w:val="24"/>
                <w:lang w:val="en-US" w:eastAsia="zh-CN"/>
              </w:rPr>
              <w:t>城市</w:t>
            </w:r>
            <w:r>
              <w:rPr>
                <w:rFonts w:hint="eastAsia" w:ascii="微软雅黑" w:hAnsi="微软雅黑" w:eastAsia="微软雅黑" w:cs="Arial"/>
                <w:color w:val="000000"/>
                <w:sz w:val="24"/>
                <w:szCs w:val="24"/>
                <w:lang w:eastAsia="zh-CN"/>
              </w:rPr>
              <w:t>，邀请患者自愿加入狼疮性肾炎规范化诊疗实验班，医生与患者组织针对实验班成员开展线上、线下互动交流</w:t>
            </w:r>
            <w:r>
              <w:rPr>
                <w:rFonts w:hint="eastAsia" w:ascii="微软雅黑" w:hAnsi="微软雅黑" w:eastAsia="微软雅黑" w:cs="Arial"/>
                <w:color w:val="000000"/>
                <w:sz w:val="24"/>
                <w:szCs w:val="24"/>
                <w:lang w:val="en-US" w:eastAsia="zh-CN"/>
              </w:rPr>
              <w:t>活动</w:t>
            </w:r>
            <w:r>
              <w:rPr>
                <w:rFonts w:hint="eastAsia" w:ascii="微软雅黑" w:hAnsi="微软雅黑" w:eastAsia="微软雅黑" w:cs="Arial"/>
                <w:color w:val="000000"/>
                <w:sz w:val="24"/>
                <w:szCs w:val="24"/>
                <w:lang w:eastAsia="zh-CN"/>
              </w:rPr>
              <w:t>，例如开展患者意见领袖座谈会、开展疾病认知、患者支持活动，让患者提升疾病认知能力和治疗信心。</w:t>
            </w:r>
          </w:p>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ascii="微软雅黑" w:hAnsi="微软雅黑" w:eastAsia="微软雅黑"/>
                <w:sz w:val="24"/>
                <w:szCs w:val="24"/>
                <w:lang w:eastAsia="zh-CN"/>
              </w:rPr>
            </w:pPr>
            <w:r>
              <w:rPr>
                <w:rFonts w:hint="eastAsia" w:ascii="微软雅黑" w:hAnsi="微软雅黑" w:eastAsia="微软雅黑" w:cs="Arial"/>
                <w:color w:val="000000"/>
                <w:sz w:val="24"/>
                <w:szCs w:val="24"/>
                <w:lang w:eastAsia="zh-CN"/>
              </w:rPr>
              <w:t>患者对狼疮性肾炎的疾病认知将直接影响到患者将来的疾病规范化管理程度。因此，本项目希望</w:t>
            </w:r>
            <w:r>
              <w:rPr>
                <w:rFonts w:hint="eastAsia" w:ascii="微软雅黑" w:hAnsi="微软雅黑" w:eastAsia="微软雅黑" w:cs="Arial"/>
                <w:color w:val="000000"/>
                <w:sz w:val="24"/>
                <w:szCs w:val="24"/>
                <w:lang w:val="en-US" w:eastAsia="zh-CN"/>
              </w:rPr>
              <w:t>通过一系列活动，提升患者规范化诊疗意识，</w:t>
            </w:r>
            <w:r>
              <w:rPr>
                <w:rFonts w:hint="eastAsia" w:ascii="微软雅黑" w:hAnsi="微软雅黑" w:eastAsia="微软雅黑" w:cs="Arial"/>
                <w:color w:val="000000"/>
                <w:sz w:val="24"/>
                <w:szCs w:val="24"/>
                <w:lang w:eastAsia="zh-CN"/>
              </w:rPr>
              <w:t>帮助他们改善生活质量，减轻他们的疾病负担。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rPr>
            </w:pPr>
            <w:r>
              <w:rPr>
                <w:rFonts w:hint="eastAsia" w:ascii="微软雅黑" w:hAnsi="微软雅黑" w:eastAsia="微软雅黑" w:cs="Arial"/>
                <w:b/>
                <w:color w:val="auto"/>
                <w:sz w:val="24"/>
                <w:szCs w:val="24"/>
                <w:lang w:eastAsia="zh-CN"/>
              </w:rPr>
              <w:t>项目目标</w:t>
            </w:r>
          </w:p>
        </w:tc>
        <w:tc>
          <w:tcPr>
            <w:tcW w:w="4071" w:type="pct"/>
            <w:vAlign w:val="center"/>
          </w:tcPr>
          <w:p>
            <w:pPr>
              <w:pStyle w:val="39"/>
              <w:widowControl w:val="0"/>
              <w:numPr>
                <w:ilvl w:val="0"/>
                <w:numId w:val="3"/>
              </w:numPr>
              <w:jc w:val="both"/>
              <w:rPr>
                <w:rFonts w:hint="eastAsia"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探索患者组织与医院合作进行患者管理的模式，联合医生和患者组织的力量，</w:t>
            </w:r>
            <w:r>
              <w:rPr>
                <w:rFonts w:hint="eastAsia" w:ascii="微软雅黑" w:hAnsi="微软雅黑" w:eastAsia="微软雅黑" w:cs="Arial"/>
                <w:color w:val="000000"/>
                <w:sz w:val="24"/>
                <w:szCs w:val="24"/>
                <w:lang w:val="en-US" w:eastAsia="zh-CN"/>
              </w:rPr>
              <w:t>赋能患者。</w:t>
            </w:r>
            <w:r>
              <w:rPr>
                <w:rFonts w:hint="eastAsia" w:ascii="微软雅黑" w:hAnsi="微软雅黑" w:eastAsia="微软雅黑" w:cs="Arial"/>
                <w:color w:val="000000"/>
                <w:sz w:val="24"/>
                <w:szCs w:val="24"/>
                <w:lang w:eastAsia="zh-CN"/>
              </w:rPr>
              <w:t>通过开展一系列患者活动，帮助提升患者</w:t>
            </w:r>
            <w:r>
              <w:rPr>
                <w:rFonts w:hint="eastAsia" w:ascii="微软雅黑" w:hAnsi="微软雅黑" w:eastAsia="微软雅黑" w:cs="Arial"/>
                <w:color w:val="000000"/>
                <w:sz w:val="24"/>
                <w:szCs w:val="24"/>
                <w:lang w:val="en-US" w:eastAsia="zh-CN"/>
              </w:rPr>
              <w:t>规范化诊疗意识</w:t>
            </w:r>
            <w:r>
              <w:rPr>
                <w:rFonts w:hint="eastAsia" w:ascii="微软雅黑" w:hAnsi="微软雅黑" w:eastAsia="微软雅黑" w:cs="Arial"/>
                <w:color w:val="000000"/>
                <w:sz w:val="24"/>
                <w:szCs w:val="24"/>
                <w:lang w:eastAsia="zh-CN"/>
              </w:rPr>
              <w:t>；</w:t>
            </w:r>
          </w:p>
          <w:p>
            <w:pPr>
              <w:pStyle w:val="39"/>
              <w:widowControl w:val="0"/>
              <w:numPr>
                <w:ilvl w:val="0"/>
                <w:numId w:val="3"/>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val="en-US" w:eastAsia="zh-CN"/>
              </w:rPr>
              <w:t>助力患者获得疾病科普知识，</w:t>
            </w:r>
            <w:r>
              <w:rPr>
                <w:rFonts w:hint="eastAsia" w:ascii="微软雅黑" w:hAnsi="微软雅黑" w:eastAsia="微软雅黑" w:cs="Arial"/>
                <w:color w:val="000000"/>
                <w:sz w:val="24"/>
                <w:szCs w:val="24"/>
                <w:lang w:eastAsia="zh-CN"/>
              </w:rPr>
              <w:t>提升</w:t>
            </w:r>
            <w:r>
              <w:rPr>
                <w:rFonts w:hint="eastAsia" w:ascii="微软雅黑" w:hAnsi="微软雅黑" w:eastAsia="微软雅黑" w:cs="Arial"/>
                <w:color w:val="000000"/>
                <w:sz w:val="24"/>
                <w:szCs w:val="24"/>
                <w:lang w:val="en-US" w:eastAsia="zh-CN"/>
              </w:rPr>
              <w:t>患者</w:t>
            </w:r>
            <w:r>
              <w:rPr>
                <w:rFonts w:hint="eastAsia" w:ascii="微软雅黑" w:hAnsi="微软雅黑" w:eastAsia="微软雅黑" w:cs="Arial"/>
                <w:color w:val="000000"/>
                <w:sz w:val="24"/>
                <w:szCs w:val="24"/>
                <w:lang w:eastAsia="zh-CN"/>
              </w:rPr>
              <w:t>治疗信心，改善生活质量，减轻疾病负担。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929" w:type="pct"/>
            <w:shd w:val="clear" w:color="auto" w:fill="auto"/>
            <w:vAlign w:val="center"/>
          </w:tcPr>
          <w:p>
            <w:pPr>
              <w:spacing w:after="120" w:afterLines="50"/>
              <w:ind w:left="57"/>
              <w:jc w:val="both"/>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项目内容</w:t>
            </w:r>
          </w:p>
        </w:tc>
        <w:tc>
          <w:tcPr>
            <w:tcW w:w="4071" w:type="pct"/>
            <w:vAlign w:val="center"/>
          </w:tcPr>
          <w:p>
            <w:pPr>
              <w:pStyle w:val="39"/>
              <w:keepNext w:val="0"/>
              <w:keepLines w:val="0"/>
              <w:pageBreakBefore w:val="0"/>
              <w:widowControl w:val="0"/>
              <w:numPr>
                <w:ilvl w:val="0"/>
                <w:numId w:val="0"/>
              </w:numPr>
              <w:kinsoku/>
              <w:wordWrap/>
              <w:overflowPunct/>
              <w:topLinePunct w:val="0"/>
              <w:autoSpaceDE/>
              <w:autoSpaceDN/>
              <w:bidi w:val="0"/>
              <w:adjustRightInd/>
              <w:snapToGrid/>
              <w:ind w:leftChars="0" w:firstLine="480" w:firstLineChars="200"/>
              <w:jc w:val="both"/>
              <w:textAlignment w:val="auto"/>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val="en-US" w:eastAsia="zh-CN"/>
              </w:rPr>
              <w:t>选</w:t>
            </w:r>
            <w:r>
              <w:rPr>
                <w:rFonts w:hint="eastAsia" w:ascii="微软雅黑" w:hAnsi="微软雅黑" w:eastAsia="微软雅黑" w:cs="Arial"/>
                <w:color w:val="000000"/>
                <w:sz w:val="24"/>
                <w:szCs w:val="24"/>
                <w:lang w:eastAsia="zh-CN"/>
              </w:rPr>
              <w:t>取</w:t>
            </w:r>
            <w:r>
              <w:rPr>
                <w:rFonts w:hint="eastAsia" w:ascii="微软雅黑" w:hAnsi="微软雅黑" w:eastAsia="微软雅黑" w:cs="Arial"/>
                <w:color w:val="000000"/>
                <w:sz w:val="24"/>
                <w:szCs w:val="24"/>
                <w:lang w:val="en-US" w:eastAsia="zh-CN"/>
              </w:rPr>
              <w:t>1-2个</w:t>
            </w:r>
            <w:r>
              <w:rPr>
                <w:rFonts w:hint="eastAsia" w:ascii="微软雅黑" w:hAnsi="微软雅黑" w:eastAsia="微软雅黑" w:cs="Arial"/>
                <w:color w:val="000000"/>
                <w:sz w:val="24"/>
                <w:szCs w:val="24"/>
                <w:lang w:eastAsia="zh-CN"/>
              </w:rPr>
              <w:t>试点</w:t>
            </w:r>
            <w:r>
              <w:rPr>
                <w:rFonts w:hint="eastAsia" w:ascii="微软雅黑" w:hAnsi="微软雅黑" w:eastAsia="微软雅黑" w:cs="Arial"/>
                <w:color w:val="000000"/>
                <w:sz w:val="24"/>
                <w:szCs w:val="24"/>
                <w:lang w:val="en-US" w:eastAsia="zh-CN"/>
              </w:rPr>
              <w:t>城市，联合医院和患者组织资源，完成</w:t>
            </w:r>
            <w:r>
              <w:rPr>
                <w:rFonts w:hint="eastAsia" w:ascii="微软雅黑" w:hAnsi="微软雅黑" w:eastAsia="微软雅黑" w:cs="Arial"/>
                <w:color w:val="000000"/>
                <w:sz w:val="24"/>
                <w:szCs w:val="24"/>
                <w:lang w:eastAsia="zh-CN"/>
              </w:rPr>
              <w:t>患者调研、患者意见领袖/患者代表咨询会、邀请患者加入狼疮性肾炎规范化诊疗实验班、开展</w:t>
            </w:r>
            <w:r>
              <w:rPr>
                <w:rFonts w:hint="eastAsia" w:ascii="微软雅黑" w:hAnsi="微软雅黑" w:eastAsia="微软雅黑" w:cs="Arial"/>
                <w:color w:val="000000"/>
                <w:sz w:val="24"/>
                <w:szCs w:val="24"/>
                <w:lang w:val="en-US" w:eastAsia="zh-CN"/>
              </w:rPr>
              <w:t>院内</w:t>
            </w:r>
            <w:r>
              <w:rPr>
                <w:rFonts w:hint="eastAsia" w:ascii="微软雅黑" w:hAnsi="微软雅黑" w:eastAsia="微软雅黑" w:cs="Arial"/>
                <w:color w:val="000000"/>
                <w:sz w:val="24"/>
                <w:szCs w:val="24"/>
                <w:lang w:eastAsia="zh-CN"/>
              </w:rPr>
              <w:t>线下活动、评估调研项目效果、生成相关分析报告</w:t>
            </w:r>
            <w:r>
              <w:rPr>
                <w:rFonts w:hint="eastAsia" w:ascii="微软雅黑" w:hAnsi="微软雅黑" w:eastAsia="微软雅黑" w:cs="Arial"/>
                <w:color w:val="000000"/>
                <w:sz w:val="24"/>
                <w:szCs w:val="24"/>
                <w:lang w:val="en-US" w:eastAsia="zh-CN"/>
              </w:rPr>
              <w:t>等工作</w:t>
            </w:r>
            <w:r>
              <w:rPr>
                <w:rFonts w:hint="eastAsia" w:ascii="微软雅黑" w:hAnsi="微软雅黑" w:eastAsia="微软雅黑" w:cs="Arial"/>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rPr>
            </w:pPr>
            <w:r>
              <w:rPr>
                <w:rFonts w:hint="eastAsia" w:ascii="微软雅黑" w:hAnsi="微软雅黑" w:eastAsia="微软雅黑" w:cs="Arial"/>
                <w:b/>
                <w:color w:val="auto"/>
                <w:sz w:val="24"/>
                <w:szCs w:val="24"/>
                <w:lang w:eastAsia="zh-CN"/>
              </w:rPr>
              <w:t>项目交付物</w:t>
            </w:r>
          </w:p>
        </w:tc>
        <w:tc>
          <w:tcPr>
            <w:tcW w:w="4071" w:type="pct"/>
            <w:vAlign w:val="center"/>
          </w:tcPr>
          <w:p>
            <w:pPr>
              <w:pStyle w:val="39"/>
              <w:keepNext w:val="0"/>
              <w:keepLines w:val="0"/>
              <w:pageBreakBefore w:val="0"/>
              <w:widowControl/>
              <w:numPr>
                <w:ilvl w:val="0"/>
                <w:numId w:val="0"/>
              </w:numPr>
              <w:kinsoku/>
              <w:wordWrap/>
              <w:overflowPunct/>
              <w:topLinePunct w:val="0"/>
              <w:autoSpaceDE/>
              <w:autoSpaceDN/>
              <w:bidi w:val="0"/>
              <w:adjustRightInd/>
              <w:snapToGrid/>
              <w:ind w:leftChars="0" w:firstLine="480" w:firstLineChars="200"/>
              <w:jc w:val="both"/>
              <w:textAlignment w:val="auto"/>
              <w:rPr>
                <w:lang w:eastAsia="zh-CN"/>
              </w:rPr>
            </w:pPr>
            <w:r>
              <w:rPr>
                <w:rFonts w:hint="eastAsia" w:ascii="微软雅黑" w:hAnsi="微软雅黑" w:eastAsia="微软雅黑" w:cs="Arial"/>
                <w:color w:val="000000"/>
                <w:sz w:val="24"/>
                <w:szCs w:val="24"/>
                <w:lang w:eastAsia="zh-CN"/>
              </w:rPr>
              <w:t>患者调研</w:t>
            </w:r>
            <w:r>
              <w:rPr>
                <w:rFonts w:hint="eastAsia" w:ascii="微软雅黑" w:hAnsi="微软雅黑" w:eastAsia="微软雅黑" w:cs="Arial"/>
                <w:color w:val="000000"/>
                <w:sz w:val="24"/>
                <w:szCs w:val="24"/>
                <w:lang w:val="en-US" w:eastAsia="zh-CN"/>
              </w:rPr>
              <w:t>问卷表</w:t>
            </w:r>
            <w:r>
              <w:rPr>
                <w:rFonts w:hint="eastAsia" w:ascii="微软雅黑" w:hAnsi="微软雅黑" w:eastAsia="微软雅黑" w:cs="Arial"/>
                <w:color w:val="000000"/>
                <w:sz w:val="24"/>
                <w:szCs w:val="24"/>
                <w:lang w:eastAsia="zh-CN"/>
              </w:rPr>
              <w:t>、患者意见领袖/患者代表咨询会、规范化诊疗实验班</w:t>
            </w:r>
            <w:r>
              <w:rPr>
                <w:rFonts w:hint="eastAsia" w:ascii="微软雅黑" w:hAnsi="微软雅黑" w:eastAsia="微软雅黑" w:cs="Arial"/>
                <w:color w:val="000000"/>
                <w:sz w:val="24"/>
                <w:szCs w:val="24"/>
                <w:lang w:val="en-US" w:eastAsia="zh-CN"/>
              </w:rPr>
              <w:t>微信群</w:t>
            </w:r>
            <w:r>
              <w:rPr>
                <w:rFonts w:hint="eastAsia" w:ascii="微软雅黑" w:hAnsi="微软雅黑" w:eastAsia="微软雅黑" w:cs="Arial"/>
                <w:color w:val="000000"/>
                <w:sz w:val="24"/>
                <w:szCs w:val="24"/>
                <w:lang w:eastAsia="zh-CN"/>
              </w:rPr>
              <w:t>、</w:t>
            </w:r>
            <w:r>
              <w:rPr>
                <w:rFonts w:hint="eastAsia" w:ascii="微软雅黑" w:hAnsi="微软雅黑" w:eastAsia="微软雅黑" w:cs="Arial"/>
                <w:color w:val="000000"/>
                <w:sz w:val="24"/>
                <w:szCs w:val="24"/>
                <w:lang w:val="en-US" w:eastAsia="zh-CN"/>
              </w:rPr>
              <w:t>院内</w:t>
            </w:r>
            <w:r>
              <w:rPr>
                <w:rFonts w:hint="eastAsia" w:ascii="微软雅黑" w:hAnsi="微软雅黑" w:eastAsia="微软雅黑" w:cs="Arial"/>
                <w:color w:val="000000"/>
                <w:sz w:val="24"/>
                <w:szCs w:val="24"/>
                <w:lang w:eastAsia="zh-CN"/>
              </w:rPr>
              <w:t>线下活动、分析报告</w:t>
            </w:r>
            <w:r>
              <w:rPr>
                <w:rFonts w:hint="eastAsia" w:ascii="微软雅黑" w:hAnsi="微软雅黑" w:eastAsia="微软雅黑" w:cs="Arial"/>
                <w:color w:val="000000"/>
                <w:sz w:val="24"/>
                <w:szCs w:val="24"/>
                <w:lang w:val="en-US" w:eastAsia="zh-CN"/>
              </w:rPr>
              <w:t>等。</w:t>
            </w:r>
            <w:r>
              <w:rPr>
                <w:rFonts w:hint="eastAsia" w:ascii="微软雅黑" w:hAnsi="微软雅黑" w:eastAsia="微软雅黑" w:cs="Arial"/>
                <w:color w:val="000000"/>
                <w:sz w:val="24"/>
                <w:szCs w:val="24"/>
                <w:lang w:eastAsia="zh-CN"/>
              </w:rPr>
              <w:t>能够提供每场</w:t>
            </w:r>
            <w:r>
              <w:rPr>
                <w:rFonts w:hint="eastAsia" w:ascii="微软雅黑" w:hAnsi="微软雅黑" w:eastAsia="微软雅黑" w:cs="Arial"/>
                <w:color w:val="000000"/>
                <w:sz w:val="24"/>
                <w:szCs w:val="24"/>
                <w:lang w:val="en-US" w:eastAsia="zh-CN"/>
              </w:rPr>
              <w:t>线上和线下活动</w:t>
            </w:r>
            <w:r>
              <w:rPr>
                <w:rFonts w:hint="eastAsia" w:ascii="微软雅黑" w:hAnsi="微软雅黑" w:eastAsia="微软雅黑" w:cs="Arial"/>
                <w:color w:val="000000"/>
                <w:sz w:val="24"/>
                <w:szCs w:val="24"/>
                <w:lang w:eastAsia="zh-CN"/>
              </w:rPr>
              <w:t>的照片</w:t>
            </w:r>
            <w:r>
              <w:rPr>
                <w:rFonts w:hint="eastAsia" w:ascii="微软雅黑" w:hAnsi="微软雅黑" w:eastAsia="微软雅黑" w:cs="Arial"/>
                <w:color w:val="000000"/>
                <w:sz w:val="24"/>
                <w:szCs w:val="24"/>
                <w:lang w:val="en-US" w:eastAsia="zh-CN"/>
              </w:rPr>
              <w:t>或截图，会议类活动需提供</w:t>
            </w:r>
            <w:r>
              <w:rPr>
                <w:rFonts w:hint="eastAsia" w:ascii="微软雅黑" w:hAnsi="微软雅黑" w:eastAsia="微软雅黑" w:cs="Arial"/>
                <w:color w:val="000000"/>
                <w:sz w:val="24"/>
                <w:szCs w:val="24"/>
                <w:lang w:eastAsia="zh-CN"/>
              </w:rPr>
              <w:t>签到表。</w:t>
            </w:r>
            <w:r>
              <w:rPr>
                <w:rFonts w:hint="eastAsia" w:ascii="微软雅黑" w:hAnsi="微软雅黑" w:eastAsia="微软雅黑" w:cs="Arial"/>
                <w:color w:val="000000"/>
                <w:sz w:val="24"/>
                <w:szCs w:val="24"/>
                <w:lang w:val="en-US" w:eastAsia="zh-CN"/>
              </w:rPr>
              <w:t>能够提供</w:t>
            </w:r>
            <w:r>
              <w:rPr>
                <w:rFonts w:hint="eastAsia" w:ascii="微软雅黑" w:hAnsi="微软雅黑" w:eastAsia="微软雅黑" w:cs="Arial"/>
                <w:color w:val="000000"/>
                <w:sz w:val="24"/>
                <w:szCs w:val="24"/>
                <w:lang w:eastAsia="zh-CN"/>
              </w:rPr>
              <w:t>实际支出明细、发票等作为履行证明。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rPr>
            </w:pPr>
            <w:r>
              <w:rPr>
                <w:rFonts w:hint="eastAsia" w:ascii="微软雅黑" w:hAnsi="微软雅黑" w:eastAsia="微软雅黑" w:cs="Arial"/>
                <w:b/>
                <w:color w:val="auto"/>
                <w:sz w:val="24"/>
                <w:szCs w:val="24"/>
                <w:lang w:eastAsia="zh-CN"/>
              </w:rPr>
              <w:t>项目周期</w:t>
            </w:r>
          </w:p>
        </w:tc>
        <w:tc>
          <w:tcPr>
            <w:tcW w:w="4071" w:type="pct"/>
            <w:vAlign w:val="center"/>
          </w:tcPr>
          <w:p>
            <w:pPr>
              <w:pStyle w:val="39"/>
              <w:numPr>
                <w:ilvl w:val="0"/>
                <w:numId w:val="4"/>
              </w:numPr>
              <w:jc w:val="both"/>
              <w:rPr>
                <w:rFonts w:hint="eastAsia" w:ascii="微软雅黑" w:hAnsi="微软雅黑" w:eastAsia="微软雅黑" w:cs="Arial"/>
                <w:color w:val="000000"/>
                <w:sz w:val="24"/>
                <w:szCs w:val="24"/>
              </w:rPr>
            </w:pPr>
            <w:r>
              <w:rPr>
                <w:rFonts w:hint="eastAsia" w:ascii="微软雅黑" w:hAnsi="微软雅黑" w:eastAsia="微软雅黑" w:cs="Arial"/>
                <w:color w:val="000000"/>
                <w:sz w:val="24"/>
                <w:szCs w:val="24"/>
              </w:rPr>
              <w:t>方案设计：202</w:t>
            </w:r>
            <w:r>
              <w:rPr>
                <w:rFonts w:hint="eastAsia" w:ascii="微软雅黑" w:hAnsi="微软雅黑" w:eastAsia="微软雅黑" w:cs="Arial"/>
                <w:color w:val="000000"/>
                <w:sz w:val="24"/>
                <w:szCs w:val="24"/>
                <w:lang w:val="en-US" w:eastAsia="zh-CN"/>
              </w:rPr>
              <w:t>1</w:t>
            </w:r>
            <w:r>
              <w:rPr>
                <w:rFonts w:hint="eastAsia" w:ascii="微软雅黑" w:hAnsi="微软雅黑" w:eastAsia="微软雅黑" w:cs="Arial"/>
                <w:color w:val="000000"/>
                <w:sz w:val="24"/>
                <w:szCs w:val="24"/>
                <w:lang w:eastAsia="zh-CN"/>
              </w:rPr>
              <w:t>年</w:t>
            </w:r>
            <w:r>
              <w:rPr>
                <w:rFonts w:hint="eastAsia" w:ascii="微软雅黑" w:hAnsi="微软雅黑" w:eastAsia="微软雅黑" w:cs="Arial"/>
                <w:color w:val="000000"/>
                <w:sz w:val="24"/>
                <w:szCs w:val="24"/>
                <w:lang w:val="en-US" w:eastAsia="zh-CN"/>
              </w:rPr>
              <w:t>4</w:t>
            </w:r>
            <w:r>
              <w:rPr>
                <w:rFonts w:hint="eastAsia" w:ascii="微软雅黑" w:hAnsi="微软雅黑" w:eastAsia="微软雅黑" w:cs="Arial"/>
                <w:color w:val="000000"/>
                <w:sz w:val="24"/>
                <w:szCs w:val="24"/>
                <w:lang w:eastAsia="zh-CN"/>
              </w:rPr>
              <w:t>月</w:t>
            </w:r>
          </w:p>
          <w:p>
            <w:pPr>
              <w:pStyle w:val="39"/>
              <w:numPr>
                <w:ilvl w:val="0"/>
                <w:numId w:val="4"/>
              </w:numPr>
              <w:jc w:val="both"/>
              <w:rPr>
                <w:rFonts w:ascii="微软雅黑" w:hAnsi="微软雅黑" w:eastAsia="微软雅黑" w:cs="Arial"/>
                <w:color w:val="000000"/>
                <w:sz w:val="24"/>
                <w:szCs w:val="24"/>
              </w:rPr>
            </w:pPr>
            <w:r>
              <w:rPr>
                <w:rFonts w:hint="eastAsia" w:ascii="微软雅黑" w:hAnsi="微软雅黑" w:eastAsia="微软雅黑" w:cs="Arial"/>
                <w:color w:val="000000"/>
                <w:sz w:val="24"/>
                <w:szCs w:val="24"/>
                <w:lang w:val="en-US" w:eastAsia="zh-CN"/>
              </w:rPr>
              <w:t>项目</w:t>
            </w:r>
            <w:r>
              <w:rPr>
                <w:rFonts w:hint="eastAsia" w:ascii="微软雅黑" w:hAnsi="微软雅黑" w:eastAsia="微软雅黑" w:cs="Arial"/>
                <w:color w:val="000000"/>
                <w:sz w:val="24"/>
                <w:szCs w:val="24"/>
                <w:lang w:eastAsia="zh-CN"/>
              </w:rPr>
              <w:t>开展：202</w:t>
            </w:r>
            <w:r>
              <w:rPr>
                <w:rFonts w:hint="eastAsia" w:ascii="微软雅黑" w:hAnsi="微软雅黑" w:eastAsia="微软雅黑" w:cs="Arial"/>
                <w:color w:val="000000"/>
                <w:sz w:val="24"/>
                <w:szCs w:val="24"/>
                <w:lang w:val="en-US" w:eastAsia="zh-CN"/>
              </w:rPr>
              <w:t>1</w:t>
            </w:r>
            <w:r>
              <w:rPr>
                <w:rFonts w:hint="eastAsia" w:ascii="微软雅黑" w:hAnsi="微软雅黑" w:eastAsia="微软雅黑" w:cs="Arial"/>
                <w:color w:val="000000"/>
                <w:sz w:val="24"/>
                <w:szCs w:val="24"/>
                <w:lang w:eastAsia="zh-CN"/>
              </w:rPr>
              <w:t>年</w:t>
            </w:r>
            <w:r>
              <w:rPr>
                <w:rFonts w:hint="eastAsia" w:ascii="微软雅黑" w:hAnsi="微软雅黑" w:eastAsia="微软雅黑" w:cs="Arial"/>
                <w:color w:val="000000"/>
                <w:sz w:val="24"/>
                <w:szCs w:val="24"/>
                <w:lang w:val="en-US" w:eastAsia="zh-CN"/>
              </w:rPr>
              <w:t>4</w:t>
            </w:r>
            <w:r>
              <w:rPr>
                <w:rFonts w:hint="eastAsia" w:ascii="微软雅黑" w:hAnsi="微软雅黑" w:eastAsia="微软雅黑" w:cs="Arial"/>
                <w:color w:val="000000"/>
                <w:sz w:val="24"/>
                <w:szCs w:val="24"/>
                <w:lang w:eastAsia="zh-CN"/>
              </w:rPr>
              <w:t>月-</w:t>
            </w:r>
            <w:r>
              <w:rPr>
                <w:rFonts w:hint="eastAsia" w:ascii="微软雅黑" w:hAnsi="微软雅黑" w:eastAsia="微软雅黑" w:cs="Arial"/>
                <w:color w:val="000000"/>
                <w:sz w:val="24"/>
                <w:szCs w:val="24"/>
                <w:lang w:val="en-US" w:eastAsia="zh-CN"/>
              </w:rPr>
              <w:t>12</w:t>
            </w:r>
            <w:r>
              <w:rPr>
                <w:rFonts w:hint="eastAsia" w:ascii="微软雅黑" w:hAnsi="微软雅黑" w:eastAsia="微软雅黑" w:cs="Arial"/>
                <w:color w:val="000000"/>
                <w:sz w:val="24"/>
                <w:szCs w:val="24"/>
                <w:lang w:eastAsia="zh-CN"/>
              </w:rPr>
              <w:t>月</w:t>
            </w:r>
          </w:p>
          <w:p>
            <w:pPr>
              <w:pStyle w:val="39"/>
              <w:numPr>
                <w:ilvl w:val="0"/>
                <w:numId w:val="4"/>
              </w:numPr>
              <w:jc w:val="both"/>
              <w:rPr>
                <w:rFonts w:ascii="微软雅黑" w:hAnsi="微软雅黑" w:eastAsia="微软雅黑" w:cs="Arial"/>
                <w:color w:val="000000"/>
                <w:sz w:val="24"/>
                <w:szCs w:val="24"/>
                <w:lang w:eastAsia="zh-CN"/>
              </w:rPr>
            </w:pPr>
            <w:r>
              <w:rPr>
                <w:rFonts w:hint="eastAsia" w:ascii="微软雅黑" w:hAnsi="微软雅黑" w:eastAsia="微软雅黑" w:cs="Arial"/>
                <w:color w:val="000000"/>
                <w:sz w:val="24"/>
                <w:szCs w:val="24"/>
                <w:lang w:eastAsia="zh-CN"/>
              </w:rPr>
              <w:t>履行证明提交：</w:t>
            </w:r>
            <w:r>
              <w:rPr>
                <w:rFonts w:hint="eastAsia" w:ascii="微软雅黑" w:hAnsi="微软雅黑" w:eastAsia="微软雅黑" w:cs="Arial"/>
                <w:color w:val="000000"/>
                <w:sz w:val="24"/>
                <w:szCs w:val="24"/>
                <w:lang w:val="en-US" w:eastAsia="zh-CN"/>
              </w:rPr>
              <w:t>项目</w:t>
            </w:r>
            <w:r>
              <w:rPr>
                <w:rFonts w:hint="eastAsia" w:ascii="微软雅黑" w:hAnsi="微软雅黑" w:eastAsia="微软雅黑" w:cs="Arial"/>
                <w:color w:val="000000"/>
                <w:sz w:val="24"/>
                <w:szCs w:val="24"/>
                <w:lang w:eastAsia="zh-CN"/>
              </w:rPr>
              <w:t>结束后30日内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对项目合作方的资质要求</w:t>
            </w:r>
          </w:p>
        </w:tc>
        <w:tc>
          <w:tcPr>
            <w:tcW w:w="4071" w:type="pct"/>
            <w:vAlign w:val="center"/>
          </w:tcPr>
          <w:p>
            <w:pPr>
              <w:spacing w:after="120" w:afterLines="50"/>
              <w:rPr>
                <w:rFonts w:ascii="微软雅黑" w:hAnsi="微软雅黑" w:eastAsia="微软雅黑" w:cs="Arial"/>
                <w:b/>
                <w:iCs/>
                <w:color w:val="auto"/>
                <w:sz w:val="24"/>
                <w:szCs w:val="24"/>
                <w:lang w:eastAsia="zh-CN"/>
              </w:rPr>
            </w:pPr>
            <w:r>
              <w:rPr>
                <w:rFonts w:ascii="微软雅黑" w:hAnsi="微软雅黑" w:eastAsia="微软雅黑" w:cs="Arial"/>
                <w:b/>
                <w:iCs/>
                <w:color w:val="auto"/>
                <w:sz w:val="24"/>
                <w:szCs w:val="24"/>
                <w:lang w:eastAsia="zh-CN"/>
              </w:rPr>
              <w:t>相关领域经验</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val="en-US" w:eastAsia="zh-CN"/>
              </w:rPr>
              <w:t>有与医院和患者组织联系的经验，有组织咨询会、管理微信群、开展线下患者活动等工作的经验。</w:t>
            </w:r>
          </w:p>
          <w:p>
            <w:pPr>
              <w:spacing w:after="120" w:afterLines="50"/>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具备与医疗专家、医疗单位的沟通协调能力</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能够联系、动员、组织</w:t>
            </w:r>
            <w:r>
              <w:rPr>
                <w:rFonts w:hint="eastAsia" w:ascii="微软雅黑" w:hAnsi="微软雅黑" w:eastAsia="微软雅黑" w:cs="Arial"/>
                <w:iCs/>
                <w:color w:val="auto"/>
                <w:sz w:val="24"/>
                <w:szCs w:val="24"/>
                <w:lang w:val="en-US" w:eastAsia="zh-CN"/>
              </w:rPr>
              <w:t>医院</w:t>
            </w:r>
            <w:r>
              <w:rPr>
                <w:rFonts w:hint="eastAsia" w:ascii="微软雅黑" w:hAnsi="微软雅黑" w:eastAsia="微软雅黑" w:cs="Arial"/>
                <w:color w:val="000000"/>
                <w:sz w:val="24"/>
                <w:szCs w:val="24"/>
                <w:lang w:eastAsia="zh-CN"/>
              </w:rPr>
              <w:t>医务人员参加</w:t>
            </w:r>
            <w:r>
              <w:rPr>
                <w:rFonts w:hint="eastAsia" w:ascii="微软雅黑" w:hAnsi="微软雅黑" w:eastAsia="微软雅黑" w:cs="Arial"/>
                <w:color w:val="000000"/>
                <w:sz w:val="24"/>
                <w:szCs w:val="24"/>
                <w:lang w:val="en-US" w:eastAsia="zh-CN"/>
              </w:rPr>
              <w:t>诊疗班管理，能够入院组织患者线下活动</w:t>
            </w:r>
            <w:r>
              <w:rPr>
                <w:rFonts w:hint="eastAsia" w:ascii="微软雅黑" w:hAnsi="微软雅黑" w:eastAsia="微软雅黑" w:cs="Arial"/>
                <w:color w:val="000000"/>
                <w:sz w:val="24"/>
                <w:szCs w:val="24"/>
                <w:lang w:eastAsia="zh-CN"/>
              </w:rPr>
              <w:t>。</w:t>
            </w:r>
          </w:p>
          <w:p>
            <w:pPr>
              <w:spacing w:after="120" w:afterLines="50"/>
              <w:rPr>
                <w:rFonts w:hint="eastAsia" w:ascii="微软雅黑" w:hAnsi="微软雅黑" w:eastAsia="微软雅黑" w:cs="Arial"/>
                <w:b/>
                <w:iCs/>
                <w:color w:val="auto"/>
                <w:sz w:val="24"/>
                <w:szCs w:val="24"/>
                <w:lang w:val="en-US" w:eastAsia="zh-CN"/>
              </w:rPr>
            </w:pPr>
            <w:r>
              <w:rPr>
                <w:rFonts w:hint="eastAsia" w:ascii="微软雅黑" w:hAnsi="微软雅黑" w:eastAsia="微软雅黑" w:cs="Arial"/>
                <w:b/>
                <w:iCs/>
                <w:color w:val="auto"/>
                <w:sz w:val="24"/>
                <w:szCs w:val="24"/>
                <w:lang w:val="en-US" w:eastAsia="zh-CN"/>
              </w:rPr>
              <w:t>具备与患者组织沟通协调能力</w:t>
            </w:r>
          </w:p>
          <w:p>
            <w:pPr>
              <w:pStyle w:val="39"/>
              <w:numPr>
                <w:ilvl w:val="0"/>
                <w:numId w:val="4"/>
              </w:numPr>
              <w:spacing w:after="120" w:afterLines="50"/>
              <w:rPr>
                <w:rFonts w:hint="default" w:ascii="微软雅黑" w:hAnsi="微软雅黑" w:eastAsia="微软雅黑" w:cs="Arial"/>
                <w:b/>
                <w:iCs/>
                <w:color w:val="auto"/>
                <w:sz w:val="24"/>
                <w:szCs w:val="24"/>
                <w:lang w:val="en-US" w:eastAsia="zh-CN"/>
              </w:rPr>
            </w:pPr>
            <w:r>
              <w:rPr>
                <w:rFonts w:hint="eastAsia" w:ascii="微软雅黑" w:hAnsi="微软雅黑" w:eastAsia="微软雅黑" w:cs="Arial"/>
                <w:iCs/>
                <w:color w:val="auto"/>
                <w:sz w:val="24"/>
                <w:szCs w:val="24"/>
                <w:lang w:eastAsia="zh-CN"/>
              </w:rPr>
              <w:t>能够联系、动员、组织</w:t>
            </w:r>
            <w:r>
              <w:rPr>
                <w:rFonts w:hint="eastAsia" w:ascii="微软雅黑" w:hAnsi="微软雅黑" w:eastAsia="微软雅黑" w:cs="Arial"/>
                <w:iCs/>
                <w:color w:val="auto"/>
                <w:sz w:val="24"/>
                <w:szCs w:val="24"/>
                <w:lang w:val="en-US" w:eastAsia="zh-CN"/>
              </w:rPr>
              <w:t>患者组织参与项目</w:t>
            </w:r>
            <w:r>
              <w:rPr>
                <w:rFonts w:hint="eastAsia" w:ascii="微软雅黑" w:hAnsi="微软雅黑" w:eastAsia="微软雅黑" w:cs="Arial"/>
                <w:color w:val="000000"/>
                <w:sz w:val="24"/>
                <w:szCs w:val="24"/>
                <w:lang w:eastAsia="zh-CN"/>
              </w:rPr>
              <w:t>。</w:t>
            </w:r>
          </w:p>
          <w:p>
            <w:pPr>
              <w:spacing w:after="120" w:afterLines="50"/>
              <w:rPr>
                <w:rFonts w:ascii="微软雅黑" w:hAnsi="微软雅黑" w:eastAsia="微软雅黑" w:cs="Arial"/>
                <w:b/>
                <w:iCs/>
                <w:color w:val="auto"/>
                <w:sz w:val="24"/>
                <w:szCs w:val="24"/>
                <w:lang w:eastAsia="zh-CN"/>
              </w:rPr>
            </w:pPr>
            <w:r>
              <w:rPr>
                <w:rFonts w:hint="eastAsia" w:ascii="微软雅黑" w:hAnsi="微软雅黑" w:eastAsia="微软雅黑" w:cs="Arial"/>
                <w:b/>
                <w:iCs/>
                <w:color w:val="auto"/>
                <w:sz w:val="24"/>
                <w:szCs w:val="24"/>
                <w:lang w:eastAsia="zh-CN"/>
              </w:rPr>
              <w:t>稳定的执行团队</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为项目提供专属团队，与项目委托方保持日常工作沟通和紧密合作。</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项目管理经验较强，可以在</w:t>
            </w:r>
            <w:r>
              <w:rPr>
                <w:rFonts w:hint="eastAsia" w:ascii="微软雅黑" w:hAnsi="微软雅黑" w:eastAsia="微软雅黑" w:cs="Arial"/>
                <w:iCs/>
                <w:color w:val="auto"/>
                <w:sz w:val="24"/>
                <w:szCs w:val="24"/>
                <w:lang w:val="en-US" w:eastAsia="zh-CN"/>
              </w:rPr>
              <w:t>指定</w:t>
            </w:r>
            <w:r>
              <w:rPr>
                <w:rFonts w:hint="eastAsia" w:ascii="微软雅黑" w:hAnsi="微软雅黑" w:eastAsia="微软雅黑" w:cs="Arial"/>
                <w:iCs/>
                <w:color w:val="auto"/>
                <w:sz w:val="24"/>
                <w:szCs w:val="24"/>
                <w:lang w:eastAsia="zh-CN"/>
              </w:rPr>
              <w:t>时间完成委托方的项目要求。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对项目计划书的要求</w:t>
            </w:r>
          </w:p>
        </w:tc>
        <w:tc>
          <w:tcPr>
            <w:tcW w:w="4071" w:type="pct"/>
            <w:vAlign w:val="center"/>
          </w:tcPr>
          <w:p>
            <w:pPr>
              <w:spacing w:after="120" w:afterLines="50"/>
              <w:rPr>
                <w:rFonts w:ascii="微软雅黑" w:hAnsi="微软雅黑" w:eastAsia="微软雅黑"/>
                <w:color w:val="auto"/>
                <w:sz w:val="24"/>
                <w:szCs w:val="24"/>
                <w:lang w:eastAsia="zh-CN"/>
              </w:rPr>
            </w:pPr>
            <w:r>
              <w:rPr>
                <w:rFonts w:hint="eastAsia" w:ascii="微软雅黑" w:hAnsi="微软雅黑" w:eastAsia="微软雅黑"/>
                <w:color w:val="auto"/>
                <w:sz w:val="24"/>
                <w:szCs w:val="24"/>
                <w:lang w:eastAsia="zh-CN"/>
              </w:rPr>
              <w:t>根据以上项目需求，烦请贵方的项目计划书包括以下内容：</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对项目需求的理解</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项目目标、内容、方法、实施方案、质量控制措施、时间安排和具体交付物</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项目报价</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项目团队情况</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相关项目经验</w:t>
            </w:r>
          </w:p>
          <w:p>
            <w:pPr>
              <w:pStyle w:val="39"/>
              <w:numPr>
                <w:ilvl w:val="0"/>
                <w:numId w:val="4"/>
              </w:numPr>
              <w:spacing w:after="120" w:afterLines="5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对</w:t>
            </w:r>
            <w:bookmarkStart w:id="0" w:name="_GoBack"/>
            <w:bookmarkEnd w:id="0"/>
            <w:r>
              <w:rPr>
                <w:rFonts w:hint="eastAsia" w:ascii="微软雅黑" w:hAnsi="微软雅黑" w:eastAsia="微软雅黑" w:cs="Arial"/>
                <w:iCs/>
                <w:color w:val="auto"/>
                <w:sz w:val="24"/>
                <w:szCs w:val="24"/>
                <w:lang w:eastAsia="zh-CN"/>
              </w:rPr>
              <w:t>项目的其他建议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项目评审流程</w:t>
            </w:r>
          </w:p>
        </w:tc>
        <w:tc>
          <w:tcPr>
            <w:tcW w:w="4071" w:type="pct"/>
            <w:vAlign w:val="center"/>
          </w:tcPr>
          <w:p>
            <w:pPr>
              <w:pStyle w:val="39"/>
              <w:numPr>
                <w:ilvl w:val="0"/>
                <w:numId w:val="4"/>
              </w:numPr>
              <w:spacing w:after="120" w:afterLines="50"/>
              <w:ind w:left="357" w:hanging="357"/>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本项目将公开招标，并根据应标情况开展项目评标（有效投标单位超过两家）或者竞争性谈判（有效投标单位小于三家）</w:t>
            </w:r>
          </w:p>
          <w:p>
            <w:pPr>
              <w:pStyle w:val="39"/>
              <w:numPr>
                <w:ilvl w:val="0"/>
                <w:numId w:val="4"/>
              </w:numPr>
              <w:spacing w:after="120" w:afterLines="50"/>
              <w:ind w:left="357" w:hanging="357"/>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评标或竞争性谈判将由评标/谈判专家委员根据相关规定开展，并在评审结束之日起三个工作日内审定中标单位</w:t>
            </w:r>
          </w:p>
          <w:p>
            <w:pPr>
              <w:pStyle w:val="39"/>
              <w:numPr>
                <w:ilvl w:val="0"/>
                <w:numId w:val="4"/>
              </w:numPr>
              <w:spacing w:after="120" w:afterLines="50"/>
              <w:ind w:left="357" w:hanging="357"/>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采购结果公示将由北京新阳光慈善基金会的官方网站上统一发布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29" w:type="pct"/>
            <w:vAlign w:val="center"/>
          </w:tcPr>
          <w:p>
            <w:pPr>
              <w:spacing w:after="120" w:afterLines="50"/>
              <w:ind w:left="57"/>
              <w:jc w:val="both"/>
              <w:rPr>
                <w:rFonts w:ascii="微软雅黑" w:hAnsi="微软雅黑" w:eastAsia="微软雅黑" w:cs="Arial"/>
                <w:b/>
                <w:color w:val="auto"/>
                <w:sz w:val="24"/>
                <w:szCs w:val="24"/>
                <w:lang w:eastAsia="zh-CN"/>
              </w:rPr>
            </w:pPr>
            <w:r>
              <w:rPr>
                <w:rFonts w:hint="eastAsia" w:ascii="微软雅黑" w:hAnsi="微软雅黑" w:eastAsia="微软雅黑" w:cs="Arial"/>
                <w:b/>
                <w:color w:val="auto"/>
                <w:sz w:val="24"/>
                <w:szCs w:val="24"/>
                <w:lang w:eastAsia="zh-CN"/>
              </w:rPr>
              <w:t>项目联络人</w:t>
            </w:r>
          </w:p>
        </w:tc>
        <w:tc>
          <w:tcPr>
            <w:tcW w:w="4071" w:type="pct"/>
            <w:vAlign w:val="center"/>
          </w:tcPr>
          <w:p>
            <w:pPr>
              <w:pStyle w:val="39"/>
              <w:numPr>
                <w:ilvl w:val="0"/>
                <w:numId w:val="4"/>
              </w:numPr>
              <w:spacing w:after="120" w:afterLines="50"/>
              <w:ind w:left="36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联络人：李悄然</w:t>
            </w:r>
          </w:p>
          <w:p>
            <w:pPr>
              <w:pStyle w:val="39"/>
              <w:numPr>
                <w:ilvl w:val="0"/>
                <w:numId w:val="4"/>
              </w:numPr>
              <w:spacing w:after="120" w:afterLines="50"/>
              <w:ind w:left="360"/>
              <w:rPr>
                <w:rFonts w:ascii="微软雅黑" w:hAnsi="微软雅黑" w:eastAsia="微软雅黑" w:cs="Arial"/>
                <w:iCs/>
                <w:color w:val="auto"/>
                <w:sz w:val="24"/>
                <w:szCs w:val="24"/>
                <w:lang w:eastAsia="zh-CN"/>
              </w:rPr>
            </w:pPr>
            <w:r>
              <w:rPr>
                <w:rFonts w:hint="eastAsia" w:ascii="微软雅黑" w:hAnsi="微软雅黑" w:eastAsia="微软雅黑" w:cs="Arial"/>
                <w:iCs/>
                <w:color w:val="auto"/>
                <w:sz w:val="24"/>
                <w:szCs w:val="24"/>
                <w:lang w:eastAsia="zh-CN"/>
              </w:rPr>
              <w:t>联络方式：</w:t>
            </w:r>
            <w:r>
              <w:fldChar w:fldCharType="begin"/>
            </w:r>
            <w:r>
              <w:instrText xml:space="preserve"> HYPERLINK "mailto:qiaoran.li@isun.org" </w:instrText>
            </w:r>
            <w:r>
              <w:fldChar w:fldCharType="separate"/>
            </w:r>
            <w:r>
              <w:rPr>
                <w:rStyle w:val="28"/>
                <w:rFonts w:ascii="微软雅黑" w:hAnsi="微软雅黑" w:eastAsia="微软雅黑" w:cs="Arial"/>
                <w:iCs/>
                <w:sz w:val="24"/>
                <w:szCs w:val="24"/>
                <w:lang w:eastAsia="zh-CN"/>
              </w:rPr>
              <w:t>qiaoran</w:t>
            </w:r>
            <w:r>
              <w:rPr>
                <w:rStyle w:val="28"/>
                <w:rFonts w:hint="eastAsia" w:ascii="微软雅黑" w:hAnsi="微软雅黑" w:eastAsia="微软雅黑" w:cs="Arial"/>
                <w:iCs/>
                <w:sz w:val="24"/>
                <w:szCs w:val="24"/>
                <w:lang w:eastAsia="zh-CN"/>
              </w:rPr>
              <w:t>.li@isun.org</w:t>
            </w:r>
            <w:r>
              <w:rPr>
                <w:rStyle w:val="28"/>
                <w:rFonts w:hint="eastAsia" w:ascii="微软雅黑" w:hAnsi="微软雅黑" w:eastAsia="微软雅黑" w:cs="Arial"/>
                <w:iCs/>
                <w:sz w:val="24"/>
                <w:szCs w:val="24"/>
                <w:lang w:eastAsia="zh-CN"/>
              </w:rPr>
              <w:fldChar w:fldCharType="end"/>
            </w:r>
            <w:r>
              <w:rPr>
                <w:rFonts w:hint="eastAsia" w:ascii="微软雅黑" w:hAnsi="微软雅黑" w:eastAsia="微软雅黑" w:cs="Arial"/>
                <w:iCs/>
                <w:color w:val="auto"/>
                <w:sz w:val="24"/>
                <w:szCs w:val="24"/>
                <w:lang w:eastAsia="zh-CN"/>
              </w:rPr>
              <w:t>, 010-88121028-807</w:t>
            </w:r>
          </w:p>
        </w:tc>
      </w:tr>
    </w:tbl>
    <w:p>
      <w:pPr>
        <w:spacing w:after="200" w:line="276" w:lineRule="auto"/>
        <w:rPr>
          <w:rFonts w:ascii="Arial" w:hAnsi="Arial" w:cs="Arial"/>
          <w:color w:val="auto"/>
          <w:sz w:val="22"/>
          <w:szCs w:val="22"/>
        </w:rPr>
      </w:pPr>
    </w:p>
    <w:sectPr>
      <w:headerReference r:id="rId6" w:type="first"/>
      <w:footerReference r:id="rId8" w:type="first"/>
      <w:headerReference r:id="rId5" w:type="default"/>
      <w:footerReference r:id="rId7" w:type="default"/>
      <w:pgSz w:w="11906" w:h="16838"/>
      <w:pgMar w:top="1135" w:right="851" w:bottom="1134" w:left="851" w:header="567" w:footer="37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Bosch Office Sans">
    <w:altName w:val="Arial"/>
    <w:panose1 w:val="00000000000000000000"/>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Berthold Akzidenz Grotesk">
    <w:altName w:val="Segoe Print"/>
    <w:panose1 w:val="00000000000000000000"/>
    <w:charset w:val="00"/>
    <w:family w:val="auto"/>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ab/>
    </w:r>
    <w:r>
      <w:fldChar w:fldCharType="begin"/>
    </w:r>
    <w:r>
      <w:instrText xml:space="preserve"> PAGE  \* Arabic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ab/>
    </w: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7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rPr>
        <w:trHeight w:val="1093" w:hRule="atLeast"/>
      </w:trPr>
      <w:tc>
        <w:tcPr>
          <w:tcW w:w="7478" w:type="dxa"/>
          <w:shd w:val="clear" w:color="auto" w:fill="auto"/>
        </w:tcPr>
        <w:p>
          <w:pPr>
            <w:pStyle w:val="16"/>
          </w:pPr>
        </w:p>
      </w:tc>
    </w:tr>
  </w:tbl>
  <w:p>
    <w:pPr>
      <w:pStyle w:val="16"/>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0" w:type="auto"/>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0" w:type="dxa"/>
      </w:tblCellMar>
    </w:tblPr>
    <w:tblGrid>
      <w:gridCol w:w="7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0" w:type="dxa"/>
        </w:tblCellMar>
      </w:tblPrEx>
      <w:trPr>
        <w:trHeight w:val="1094" w:hRule="exact"/>
      </w:trPr>
      <w:tc>
        <w:tcPr>
          <w:tcW w:w="7478" w:type="dxa"/>
          <w:shd w:val="clear" w:color="auto" w:fill="auto"/>
        </w:tcPr>
        <w:p>
          <w:pPr>
            <w:pStyle w:val="16"/>
            <w:rPr>
              <w:lang w:eastAsia="zh-CN"/>
            </w:rPr>
          </w:pPr>
          <w:r>
            <w:rPr>
              <w:rFonts w:hint="eastAsia"/>
              <w:lang w:eastAsia="zh-CN"/>
            </w:rPr>
            <w:t xml:space="preserve"> </w:t>
          </w:r>
        </w:p>
      </w:tc>
    </w:tr>
  </w:tbl>
  <w:p>
    <w:pPr>
      <w:pStyle w:val="16"/>
      <w:tabs>
        <w:tab w:val="right" w:pos="10206"/>
        <w:tab w:val="clear" w:pos="4513"/>
        <w:tab w:val="clear" w:pos="9026"/>
      </w:tabs>
    </w:pPr>
  </w:p>
  <w:p>
    <w:pPr>
      <w:pStyle w:val="16"/>
      <w:tabs>
        <w:tab w:val="right" w:pos="10206"/>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677C4D"/>
    <w:multiLevelType w:val="multilevel"/>
    <w:tmpl w:val="10677C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56D0F4E"/>
    <w:multiLevelType w:val="multilevel"/>
    <w:tmpl w:val="256D0F4E"/>
    <w:lvl w:ilvl="0" w:tentative="0">
      <w:start w:val="1"/>
      <w:numFmt w:val="bullet"/>
      <w:pStyle w:val="40"/>
      <w:lvlText w:val="–"/>
      <w:lvlJc w:val="left"/>
      <w:pPr>
        <w:ind w:left="227" w:hanging="227"/>
      </w:pPr>
      <w:rPr>
        <w:rFonts w:hint="default" w:ascii="Arial" w:hAnsi="Arial"/>
        <w:color w:val="635A54" w:themeColor="text1"/>
        <w14:textFill>
          <w14:solidFill>
            <w14:schemeClr w14:val="tx1"/>
          </w14:solidFill>
        </w14:textFill>
      </w:rPr>
    </w:lvl>
    <w:lvl w:ilvl="1" w:tentative="0">
      <w:start w:val="1"/>
      <w:numFmt w:val="bullet"/>
      <w:lvlText w:val="–"/>
      <w:lvlJc w:val="left"/>
      <w:pPr>
        <w:ind w:left="454" w:hanging="227"/>
      </w:pPr>
      <w:rPr>
        <w:rFonts w:hint="default" w:ascii="Arial" w:hAnsi="Arial"/>
        <w:color w:val="635A54" w:themeColor="text1"/>
        <w14:textFill>
          <w14:solidFill>
            <w14:schemeClr w14:val="tx1"/>
          </w14:solidFill>
        </w14:textFill>
      </w:rPr>
    </w:lvl>
    <w:lvl w:ilvl="2" w:tentative="0">
      <w:start w:val="1"/>
      <w:numFmt w:val="bullet"/>
      <w:lvlText w:val="–"/>
      <w:lvlJc w:val="left"/>
      <w:pPr>
        <w:ind w:left="680" w:hanging="226"/>
      </w:pPr>
      <w:rPr>
        <w:rFonts w:hint="default" w:ascii="Arial" w:hAnsi="Arial"/>
        <w:color w:val="635A54" w:themeColor="text1"/>
        <w14:textFill>
          <w14:solidFill>
            <w14:schemeClr w14:val="tx1"/>
          </w14:solidFill>
        </w14:textFill>
      </w:rPr>
    </w:lvl>
    <w:lvl w:ilvl="3" w:tentative="0">
      <w:start w:val="1"/>
      <w:numFmt w:val="bullet"/>
      <w:lvlText w:val="–"/>
      <w:lvlJc w:val="left"/>
      <w:pPr>
        <w:ind w:left="907" w:hanging="227"/>
      </w:pPr>
      <w:rPr>
        <w:rFonts w:hint="default" w:ascii="Arial" w:hAnsi="Arial"/>
        <w:color w:val="635A54" w:themeColor="text1"/>
        <w14:textFill>
          <w14:solidFill>
            <w14:schemeClr w14:val="tx1"/>
          </w14:solidFill>
        </w14:textFill>
      </w:rPr>
    </w:lvl>
    <w:lvl w:ilvl="4" w:tentative="0">
      <w:start w:val="1"/>
      <w:numFmt w:val="bullet"/>
      <w:lvlText w:val="–"/>
      <w:lvlJc w:val="left"/>
      <w:pPr>
        <w:ind w:left="1134" w:hanging="227"/>
      </w:pPr>
      <w:rPr>
        <w:rFonts w:hint="default" w:ascii="Arial" w:hAnsi="Arial"/>
        <w:color w:val="635A54" w:themeColor="text1"/>
        <w14:textFill>
          <w14:solidFill>
            <w14:schemeClr w14:val="tx1"/>
          </w14:solidFill>
        </w14:textFill>
      </w:rPr>
    </w:lvl>
    <w:lvl w:ilvl="5" w:tentative="0">
      <w:start w:val="1"/>
      <w:numFmt w:val="bullet"/>
      <w:lvlText w:val="–"/>
      <w:lvlJc w:val="left"/>
      <w:pPr>
        <w:ind w:left="1361" w:hanging="227"/>
      </w:pPr>
      <w:rPr>
        <w:rFonts w:hint="default" w:ascii="Arial" w:hAnsi="Arial"/>
        <w:color w:val="635A54" w:themeColor="text1"/>
        <w14:textFill>
          <w14:solidFill>
            <w14:schemeClr w14:val="tx1"/>
          </w14:solidFill>
        </w14:textFill>
      </w:rPr>
    </w:lvl>
    <w:lvl w:ilvl="6" w:tentative="0">
      <w:start w:val="1"/>
      <w:numFmt w:val="bullet"/>
      <w:lvlText w:val="–"/>
      <w:lvlJc w:val="left"/>
      <w:pPr>
        <w:tabs>
          <w:tab w:val="left" w:pos="1644"/>
        </w:tabs>
        <w:ind w:left="1588" w:hanging="227"/>
      </w:pPr>
      <w:rPr>
        <w:rFonts w:hint="default" w:ascii="Arial" w:hAnsi="Arial"/>
        <w:color w:val="635A54" w:themeColor="text1"/>
        <w14:textFill>
          <w14:solidFill>
            <w14:schemeClr w14:val="tx1"/>
          </w14:solidFill>
        </w14:textFill>
      </w:rPr>
    </w:lvl>
    <w:lvl w:ilvl="7" w:tentative="0">
      <w:start w:val="1"/>
      <w:numFmt w:val="bullet"/>
      <w:lvlText w:val="–"/>
      <w:lvlJc w:val="left"/>
      <w:pPr>
        <w:ind w:left="1814" w:hanging="226"/>
      </w:pPr>
      <w:rPr>
        <w:rFonts w:hint="default" w:ascii="Arial" w:hAnsi="Arial"/>
        <w:color w:val="635A54" w:themeColor="text1"/>
        <w14:textFill>
          <w14:solidFill>
            <w14:schemeClr w14:val="tx1"/>
          </w14:solidFill>
        </w14:textFill>
      </w:rPr>
    </w:lvl>
    <w:lvl w:ilvl="8" w:tentative="0">
      <w:start w:val="1"/>
      <w:numFmt w:val="bullet"/>
      <w:lvlText w:val="–"/>
      <w:lvlJc w:val="left"/>
      <w:pPr>
        <w:ind w:left="2041" w:hanging="227"/>
      </w:pPr>
      <w:rPr>
        <w:rFonts w:hint="default" w:ascii="Arial" w:hAnsi="Arial"/>
        <w:color w:val="635A54" w:themeColor="text1"/>
        <w14:textFill>
          <w14:solidFill>
            <w14:schemeClr w14:val="tx1"/>
          </w14:solidFill>
        </w14:textFill>
      </w:rPr>
    </w:lvl>
  </w:abstractNum>
  <w:abstractNum w:abstractNumId="2">
    <w:nsid w:val="4CC31C43"/>
    <w:multiLevelType w:val="multilevel"/>
    <w:tmpl w:val="4CC31C43"/>
    <w:lvl w:ilvl="0" w:tentative="0">
      <w:start w:val="1"/>
      <w:numFmt w:val="bullet"/>
      <w:pStyle w:val="57"/>
      <w:lvlText w:val=""/>
      <w:lvlJc w:val="left"/>
      <w:pPr>
        <w:tabs>
          <w:tab w:val="left" w:pos="340"/>
        </w:tabs>
        <w:ind w:left="340" w:hanging="283"/>
      </w:pPr>
      <w:rPr>
        <w:rFonts w:hint="default" w:ascii="Wingdings" w:hAnsi="Wingdings"/>
      </w:rPr>
    </w:lvl>
    <w:lvl w:ilvl="1" w:tentative="0">
      <w:start w:val="1"/>
      <w:numFmt w:val="upperRoman"/>
      <w:lvlText w:val="%2."/>
      <w:lvlJc w:val="right"/>
      <w:pPr>
        <w:tabs>
          <w:tab w:val="left" w:pos="1500"/>
        </w:tabs>
        <w:ind w:left="1500" w:hanging="420"/>
      </w:pPr>
      <w:rPr>
        <w:rFonts w:hint="default"/>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C5C7DDA"/>
    <w:multiLevelType w:val="multilevel"/>
    <w:tmpl w:val="5C5C7DDA"/>
    <w:lvl w:ilvl="0" w:tentative="0">
      <w:start w:val="1"/>
      <w:numFmt w:val="bullet"/>
      <w:lvlText w:val=""/>
      <w:lvlJc w:val="left"/>
      <w:pPr>
        <w:ind w:left="767" w:hanging="360"/>
      </w:pPr>
      <w:rPr>
        <w:rFonts w:hint="default" w:ascii="Wingdings" w:hAnsi="Wingdings"/>
      </w:rPr>
    </w:lvl>
    <w:lvl w:ilvl="1" w:tentative="0">
      <w:start w:val="1"/>
      <w:numFmt w:val="bullet"/>
      <w:lvlText w:val="o"/>
      <w:lvlJc w:val="left"/>
      <w:pPr>
        <w:ind w:left="1487" w:hanging="360"/>
      </w:pPr>
      <w:rPr>
        <w:rFonts w:hint="default" w:ascii="Courier New" w:hAnsi="Courier New" w:cs="Courier New"/>
      </w:rPr>
    </w:lvl>
    <w:lvl w:ilvl="2" w:tentative="0">
      <w:start w:val="0"/>
      <w:numFmt w:val="bullet"/>
      <w:lvlText w:val="–"/>
      <w:lvlJc w:val="left"/>
      <w:pPr>
        <w:ind w:left="2567" w:hanging="720"/>
      </w:pPr>
      <w:rPr>
        <w:rFonts w:hint="eastAsia" w:ascii="宋体" w:hAnsi="宋体" w:eastAsia="宋体" w:cs="Arial"/>
      </w:rPr>
    </w:lvl>
    <w:lvl w:ilvl="3" w:tentative="0">
      <w:start w:val="1"/>
      <w:numFmt w:val="bullet"/>
      <w:lvlText w:val=""/>
      <w:lvlJc w:val="left"/>
      <w:pPr>
        <w:ind w:left="2927" w:hanging="360"/>
      </w:pPr>
      <w:rPr>
        <w:rFonts w:hint="default" w:ascii="Symbol" w:hAnsi="Symbol"/>
      </w:rPr>
    </w:lvl>
    <w:lvl w:ilvl="4" w:tentative="0">
      <w:start w:val="1"/>
      <w:numFmt w:val="bullet"/>
      <w:lvlText w:val="o"/>
      <w:lvlJc w:val="left"/>
      <w:pPr>
        <w:ind w:left="3647" w:hanging="360"/>
      </w:pPr>
      <w:rPr>
        <w:rFonts w:hint="default" w:ascii="Courier New" w:hAnsi="Courier New" w:cs="Courier New"/>
      </w:rPr>
    </w:lvl>
    <w:lvl w:ilvl="5" w:tentative="0">
      <w:start w:val="1"/>
      <w:numFmt w:val="bullet"/>
      <w:lvlText w:val=""/>
      <w:lvlJc w:val="left"/>
      <w:pPr>
        <w:ind w:left="4367" w:hanging="360"/>
      </w:pPr>
      <w:rPr>
        <w:rFonts w:hint="default" w:ascii="Wingdings" w:hAnsi="Wingdings"/>
      </w:rPr>
    </w:lvl>
    <w:lvl w:ilvl="6" w:tentative="0">
      <w:start w:val="1"/>
      <w:numFmt w:val="bullet"/>
      <w:lvlText w:val=""/>
      <w:lvlJc w:val="left"/>
      <w:pPr>
        <w:ind w:left="5087" w:hanging="360"/>
      </w:pPr>
      <w:rPr>
        <w:rFonts w:hint="default" w:ascii="Symbol" w:hAnsi="Symbol"/>
      </w:rPr>
    </w:lvl>
    <w:lvl w:ilvl="7" w:tentative="0">
      <w:start w:val="1"/>
      <w:numFmt w:val="bullet"/>
      <w:lvlText w:val="o"/>
      <w:lvlJc w:val="left"/>
      <w:pPr>
        <w:ind w:left="5807" w:hanging="360"/>
      </w:pPr>
      <w:rPr>
        <w:rFonts w:hint="default" w:ascii="Courier New" w:hAnsi="Courier New" w:cs="Courier New"/>
      </w:rPr>
    </w:lvl>
    <w:lvl w:ilvl="8" w:tentative="0">
      <w:start w:val="1"/>
      <w:numFmt w:val="bullet"/>
      <w:lvlText w:val=""/>
      <w:lvlJc w:val="left"/>
      <w:pPr>
        <w:ind w:left="6527"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A9"/>
    <w:rsid w:val="00001868"/>
    <w:rsid w:val="000028B0"/>
    <w:rsid w:val="00004D13"/>
    <w:rsid w:val="0000586A"/>
    <w:rsid w:val="00007F26"/>
    <w:rsid w:val="0001183E"/>
    <w:rsid w:val="0001554B"/>
    <w:rsid w:val="0001734C"/>
    <w:rsid w:val="00017C81"/>
    <w:rsid w:val="00021CEA"/>
    <w:rsid w:val="0002269A"/>
    <w:rsid w:val="00023DBE"/>
    <w:rsid w:val="00026D1F"/>
    <w:rsid w:val="000306A1"/>
    <w:rsid w:val="0003079F"/>
    <w:rsid w:val="000324B5"/>
    <w:rsid w:val="00035D73"/>
    <w:rsid w:val="000375BD"/>
    <w:rsid w:val="00041808"/>
    <w:rsid w:val="00043DD8"/>
    <w:rsid w:val="00044F45"/>
    <w:rsid w:val="000537DE"/>
    <w:rsid w:val="00065DF3"/>
    <w:rsid w:val="0008003C"/>
    <w:rsid w:val="00080F63"/>
    <w:rsid w:val="000816AA"/>
    <w:rsid w:val="00082114"/>
    <w:rsid w:val="000835EA"/>
    <w:rsid w:val="00085810"/>
    <w:rsid w:val="0008720F"/>
    <w:rsid w:val="0009107F"/>
    <w:rsid w:val="00091259"/>
    <w:rsid w:val="00096C85"/>
    <w:rsid w:val="000A45DC"/>
    <w:rsid w:val="000A68D0"/>
    <w:rsid w:val="000B0449"/>
    <w:rsid w:val="000D26B2"/>
    <w:rsid w:val="000D33CC"/>
    <w:rsid w:val="000D36CC"/>
    <w:rsid w:val="000E1346"/>
    <w:rsid w:val="000E2758"/>
    <w:rsid w:val="000E7B1B"/>
    <w:rsid w:val="000F0AA5"/>
    <w:rsid w:val="00110961"/>
    <w:rsid w:val="00116283"/>
    <w:rsid w:val="001260DB"/>
    <w:rsid w:val="00126750"/>
    <w:rsid w:val="00126923"/>
    <w:rsid w:val="00127AA9"/>
    <w:rsid w:val="001321C1"/>
    <w:rsid w:val="001334DC"/>
    <w:rsid w:val="00140572"/>
    <w:rsid w:val="001407E1"/>
    <w:rsid w:val="00141442"/>
    <w:rsid w:val="00142C3D"/>
    <w:rsid w:val="00145153"/>
    <w:rsid w:val="00152831"/>
    <w:rsid w:val="001536FA"/>
    <w:rsid w:val="0015387C"/>
    <w:rsid w:val="001539AB"/>
    <w:rsid w:val="00153ED7"/>
    <w:rsid w:val="00155A07"/>
    <w:rsid w:val="00156268"/>
    <w:rsid w:val="00163E2F"/>
    <w:rsid w:val="00164A82"/>
    <w:rsid w:val="00166E4C"/>
    <w:rsid w:val="001704CE"/>
    <w:rsid w:val="001705AA"/>
    <w:rsid w:val="00176900"/>
    <w:rsid w:val="00186957"/>
    <w:rsid w:val="001873F4"/>
    <w:rsid w:val="0019213A"/>
    <w:rsid w:val="00192D01"/>
    <w:rsid w:val="001A7C8A"/>
    <w:rsid w:val="001B686F"/>
    <w:rsid w:val="001C735F"/>
    <w:rsid w:val="001D31D9"/>
    <w:rsid w:val="001D3761"/>
    <w:rsid w:val="001D462B"/>
    <w:rsid w:val="001D6ECD"/>
    <w:rsid w:val="001F258F"/>
    <w:rsid w:val="002022A3"/>
    <w:rsid w:val="00202CD4"/>
    <w:rsid w:val="00203456"/>
    <w:rsid w:val="0020444B"/>
    <w:rsid w:val="00220860"/>
    <w:rsid w:val="00221325"/>
    <w:rsid w:val="002224BD"/>
    <w:rsid w:val="0022446E"/>
    <w:rsid w:val="00234931"/>
    <w:rsid w:val="002360F5"/>
    <w:rsid w:val="00237675"/>
    <w:rsid w:val="002431F3"/>
    <w:rsid w:val="00243262"/>
    <w:rsid w:val="00245093"/>
    <w:rsid w:val="00247C53"/>
    <w:rsid w:val="00251B5D"/>
    <w:rsid w:val="00254830"/>
    <w:rsid w:val="00254D1C"/>
    <w:rsid w:val="00255829"/>
    <w:rsid w:val="00255C32"/>
    <w:rsid w:val="002576AB"/>
    <w:rsid w:val="002601C0"/>
    <w:rsid w:val="00260AEF"/>
    <w:rsid w:val="00261991"/>
    <w:rsid w:val="00266668"/>
    <w:rsid w:val="00270D3B"/>
    <w:rsid w:val="00273631"/>
    <w:rsid w:val="00277E3F"/>
    <w:rsid w:val="002919A2"/>
    <w:rsid w:val="00291B49"/>
    <w:rsid w:val="002936A9"/>
    <w:rsid w:val="00294A8E"/>
    <w:rsid w:val="00297BC6"/>
    <w:rsid w:val="002A0E9C"/>
    <w:rsid w:val="002A4500"/>
    <w:rsid w:val="002B3C36"/>
    <w:rsid w:val="002B53D4"/>
    <w:rsid w:val="002B6C80"/>
    <w:rsid w:val="002B76F3"/>
    <w:rsid w:val="002C0193"/>
    <w:rsid w:val="002C0958"/>
    <w:rsid w:val="002C2A07"/>
    <w:rsid w:val="002C66B7"/>
    <w:rsid w:val="002D2561"/>
    <w:rsid w:val="002D33B8"/>
    <w:rsid w:val="002D3B62"/>
    <w:rsid w:val="002D46B2"/>
    <w:rsid w:val="002E3A66"/>
    <w:rsid w:val="002E3FCE"/>
    <w:rsid w:val="002E4B02"/>
    <w:rsid w:val="002E6356"/>
    <w:rsid w:val="002F65E3"/>
    <w:rsid w:val="00301C27"/>
    <w:rsid w:val="00302D05"/>
    <w:rsid w:val="00304F25"/>
    <w:rsid w:val="00305C63"/>
    <w:rsid w:val="00306A3A"/>
    <w:rsid w:val="00306B0D"/>
    <w:rsid w:val="003108A5"/>
    <w:rsid w:val="00317977"/>
    <w:rsid w:val="003204F1"/>
    <w:rsid w:val="00324C9F"/>
    <w:rsid w:val="003269F7"/>
    <w:rsid w:val="00330839"/>
    <w:rsid w:val="00337F2D"/>
    <w:rsid w:val="003533B1"/>
    <w:rsid w:val="00355729"/>
    <w:rsid w:val="00356410"/>
    <w:rsid w:val="00356737"/>
    <w:rsid w:val="003668A5"/>
    <w:rsid w:val="003677F5"/>
    <w:rsid w:val="0037002F"/>
    <w:rsid w:val="0037200B"/>
    <w:rsid w:val="003853A0"/>
    <w:rsid w:val="00385DA4"/>
    <w:rsid w:val="00390C3E"/>
    <w:rsid w:val="00390E8C"/>
    <w:rsid w:val="00394EE5"/>
    <w:rsid w:val="003A0CFD"/>
    <w:rsid w:val="003A3302"/>
    <w:rsid w:val="003A3D69"/>
    <w:rsid w:val="003A47DE"/>
    <w:rsid w:val="003B2C4B"/>
    <w:rsid w:val="003B2DFE"/>
    <w:rsid w:val="003B36D4"/>
    <w:rsid w:val="003C0B8D"/>
    <w:rsid w:val="003C1B2E"/>
    <w:rsid w:val="003C573D"/>
    <w:rsid w:val="003D069E"/>
    <w:rsid w:val="003D3843"/>
    <w:rsid w:val="003D7945"/>
    <w:rsid w:val="003E3824"/>
    <w:rsid w:val="003E69CA"/>
    <w:rsid w:val="003F0605"/>
    <w:rsid w:val="003F1B1F"/>
    <w:rsid w:val="003F7168"/>
    <w:rsid w:val="00403545"/>
    <w:rsid w:val="00413660"/>
    <w:rsid w:val="0041381D"/>
    <w:rsid w:val="00414A26"/>
    <w:rsid w:val="00414E21"/>
    <w:rsid w:val="00417D19"/>
    <w:rsid w:val="00417F22"/>
    <w:rsid w:val="004207BB"/>
    <w:rsid w:val="00422681"/>
    <w:rsid w:val="004241E8"/>
    <w:rsid w:val="00424B89"/>
    <w:rsid w:val="00427C02"/>
    <w:rsid w:val="00433FD7"/>
    <w:rsid w:val="00435E74"/>
    <w:rsid w:val="004369BF"/>
    <w:rsid w:val="00450718"/>
    <w:rsid w:val="00450E94"/>
    <w:rsid w:val="00453403"/>
    <w:rsid w:val="004573DF"/>
    <w:rsid w:val="00460D94"/>
    <w:rsid w:val="004615D2"/>
    <w:rsid w:val="00464B08"/>
    <w:rsid w:val="00465670"/>
    <w:rsid w:val="00466BDA"/>
    <w:rsid w:val="004757F5"/>
    <w:rsid w:val="004762BF"/>
    <w:rsid w:val="00481125"/>
    <w:rsid w:val="00482088"/>
    <w:rsid w:val="00484B63"/>
    <w:rsid w:val="0048673D"/>
    <w:rsid w:val="004A09BA"/>
    <w:rsid w:val="004A1F09"/>
    <w:rsid w:val="004A361A"/>
    <w:rsid w:val="004A5521"/>
    <w:rsid w:val="004B137E"/>
    <w:rsid w:val="004B24E2"/>
    <w:rsid w:val="004B6AE3"/>
    <w:rsid w:val="004C0621"/>
    <w:rsid w:val="004C27F2"/>
    <w:rsid w:val="004C2C0E"/>
    <w:rsid w:val="004C2F4A"/>
    <w:rsid w:val="004C3D90"/>
    <w:rsid w:val="004C65E4"/>
    <w:rsid w:val="004D3FFC"/>
    <w:rsid w:val="004E0954"/>
    <w:rsid w:val="004E7036"/>
    <w:rsid w:val="004F0C63"/>
    <w:rsid w:val="00503AF3"/>
    <w:rsid w:val="005042C7"/>
    <w:rsid w:val="00504F1B"/>
    <w:rsid w:val="00513760"/>
    <w:rsid w:val="00515690"/>
    <w:rsid w:val="00515DF6"/>
    <w:rsid w:val="005160EC"/>
    <w:rsid w:val="005212BB"/>
    <w:rsid w:val="00521CC5"/>
    <w:rsid w:val="00524E74"/>
    <w:rsid w:val="0053304D"/>
    <w:rsid w:val="00534045"/>
    <w:rsid w:val="00546F09"/>
    <w:rsid w:val="00547093"/>
    <w:rsid w:val="00547346"/>
    <w:rsid w:val="00551CBC"/>
    <w:rsid w:val="00552C64"/>
    <w:rsid w:val="00552F86"/>
    <w:rsid w:val="00553FB9"/>
    <w:rsid w:val="00555F7A"/>
    <w:rsid w:val="00560342"/>
    <w:rsid w:val="0056055B"/>
    <w:rsid w:val="00573287"/>
    <w:rsid w:val="00576CF1"/>
    <w:rsid w:val="00576FF9"/>
    <w:rsid w:val="00584D4E"/>
    <w:rsid w:val="005921CE"/>
    <w:rsid w:val="005931F4"/>
    <w:rsid w:val="005A0454"/>
    <w:rsid w:val="005A0C54"/>
    <w:rsid w:val="005A5772"/>
    <w:rsid w:val="005B2061"/>
    <w:rsid w:val="005B5CAB"/>
    <w:rsid w:val="005B74F3"/>
    <w:rsid w:val="005C13FA"/>
    <w:rsid w:val="005C255A"/>
    <w:rsid w:val="005C3A1F"/>
    <w:rsid w:val="005C5A8F"/>
    <w:rsid w:val="005D0E5D"/>
    <w:rsid w:val="005D2367"/>
    <w:rsid w:val="005D3289"/>
    <w:rsid w:val="005D4948"/>
    <w:rsid w:val="005D5479"/>
    <w:rsid w:val="005D578A"/>
    <w:rsid w:val="005D63A6"/>
    <w:rsid w:val="005E173A"/>
    <w:rsid w:val="005E595C"/>
    <w:rsid w:val="005F1ADF"/>
    <w:rsid w:val="0060492C"/>
    <w:rsid w:val="00604F98"/>
    <w:rsid w:val="00605619"/>
    <w:rsid w:val="006066A2"/>
    <w:rsid w:val="00606C50"/>
    <w:rsid w:val="00610575"/>
    <w:rsid w:val="006158E9"/>
    <w:rsid w:val="00615F93"/>
    <w:rsid w:val="00620611"/>
    <w:rsid w:val="0062071C"/>
    <w:rsid w:val="00627305"/>
    <w:rsid w:val="00631C37"/>
    <w:rsid w:val="00632E48"/>
    <w:rsid w:val="006331CE"/>
    <w:rsid w:val="0063567E"/>
    <w:rsid w:val="00636F5F"/>
    <w:rsid w:val="006376C3"/>
    <w:rsid w:val="00644EAF"/>
    <w:rsid w:val="0064508E"/>
    <w:rsid w:val="006450EA"/>
    <w:rsid w:val="0064715D"/>
    <w:rsid w:val="00651866"/>
    <w:rsid w:val="006550F9"/>
    <w:rsid w:val="0066658E"/>
    <w:rsid w:val="00666D22"/>
    <w:rsid w:val="0067007A"/>
    <w:rsid w:val="00672B35"/>
    <w:rsid w:val="00675A08"/>
    <w:rsid w:val="006776DF"/>
    <w:rsid w:val="006812B3"/>
    <w:rsid w:val="00681F0F"/>
    <w:rsid w:val="00682122"/>
    <w:rsid w:val="00683694"/>
    <w:rsid w:val="00683CF5"/>
    <w:rsid w:val="006868E9"/>
    <w:rsid w:val="006879B6"/>
    <w:rsid w:val="0069071D"/>
    <w:rsid w:val="00690D23"/>
    <w:rsid w:val="006A0431"/>
    <w:rsid w:val="006A4150"/>
    <w:rsid w:val="006A5152"/>
    <w:rsid w:val="006B0332"/>
    <w:rsid w:val="006B04C2"/>
    <w:rsid w:val="006B054F"/>
    <w:rsid w:val="006B0956"/>
    <w:rsid w:val="006B196A"/>
    <w:rsid w:val="006B1FFB"/>
    <w:rsid w:val="006B4016"/>
    <w:rsid w:val="006B57BE"/>
    <w:rsid w:val="006B5E2F"/>
    <w:rsid w:val="006C00B1"/>
    <w:rsid w:val="006C0CE4"/>
    <w:rsid w:val="006C20EB"/>
    <w:rsid w:val="006C218D"/>
    <w:rsid w:val="006C36AF"/>
    <w:rsid w:val="006C64AE"/>
    <w:rsid w:val="006D18DB"/>
    <w:rsid w:val="006E0CF0"/>
    <w:rsid w:val="006E1914"/>
    <w:rsid w:val="006E1EA0"/>
    <w:rsid w:val="006E57BB"/>
    <w:rsid w:val="006F26A2"/>
    <w:rsid w:val="006F39BF"/>
    <w:rsid w:val="007010D8"/>
    <w:rsid w:val="00703E1B"/>
    <w:rsid w:val="007069A9"/>
    <w:rsid w:val="0070708F"/>
    <w:rsid w:val="00707534"/>
    <w:rsid w:val="00707983"/>
    <w:rsid w:val="0071352E"/>
    <w:rsid w:val="00714B70"/>
    <w:rsid w:val="00722589"/>
    <w:rsid w:val="00726532"/>
    <w:rsid w:val="00726659"/>
    <w:rsid w:val="00733A3B"/>
    <w:rsid w:val="00734383"/>
    <w:rsid w:val="0073629F"/>
    <w:rsid w:val="0073722F"/>
    <w:rsid w:val="00737A17"/>
    <w:rsid w:val="007411DE"/>
    <w:rsid w:val="00742261"/>
    <w:rsid w:val="007469C5"/>
    <w:rsid w:val="00746D70"/>
    <w:rsid w:val="00746F32"/>
    <w:rsid w:val="00750CE1"/>
    <w:rsid w:val="007542E8"/>
    <w:rsid w:val="0076208A"/>
    <w:rsid w:val="00763F08"/>
    <w:rsid w:val="00764AF4"/>
    <w:rsid w:val="0076570C"/>
    <w:rsid w:val="0076757E"/>
    <w:rsid w:val="00773C09"/>
    <w:rsid w:val="00780B98"/>
    <w:rsid w:val="00786B7C"/>
    <w:rsid w:val="00787109"/>
    <w:rsid w:val="00790F3B"/>
    <w:rsid w:val="007914D6"/>
    <w:rsid w:val="00791F0F"/>
    <w:rsid w:val="00794BAF"/>
    <w:rsid w:val="007A0674"/>
    <w:rsid w:val="007A24B6"/>
    <w:rsid w:val="007A2CF1"/>
    <w:rsid w:val="007B0A50"/>
    <w:rsid w:val="007B4F02"/>
    <w:rsid w:val="007B5C12"/>
    <w:rsid w:val="007B7E4E"/>
    <w:rsid w:val="007C12AE"/>
    <w:rsid w:val="007C1E0C"/>
    <w:rsid w:val="007C255F"/>
    <w:rsid w:val="007C4754"/>
    <w:rsid w:val="007C7025"/>
    <w:rsid w:val="007C7D77"/>
    <w:rsid w:val="007D00D1"/>
    <w:rsid w:val="007E268C"/>
    <w:rsid w:val="007F0E95"/>
    <w:rsid w:val="007F1E05"/>
    <w:rsid w:val="007F3982"/>
    <w:rsid w:val="007F40D9"/>
    <w:rsid w:val="007F4F54"/>
    <w:rsid w:val="007F5A0A"/>
    <w:rsid w:val="007F6542"/>
    <w:rsid w:val="007F71CE"/>
    <w:rsid w:val="007F79F5"/>
    <w:rsid w:val="007F7B25"/>
    <w:rsid w:val="00802CC3"/>
    <w:rsid w:val="008030D9"/>
    <w:rsid w:val="00804616"/>
    <w:rsid w:val="00807BC3"/>
    <w:rsid w:val="008134C5"/>
    <w:rsid w:val="00813F94"/>
    <w:rsid w:val="00815DC0"/>
    <w:rsid w:val="00816D4C"/>
    <w:rsid w:val="00822E05"/>
    <w:rsid w:val="00822E71"/>
    <w:rsid w:val="00823ADD"/>
    <w:rsid w:val="0082414C"/>
    <w:rsid w:val="00824280"/>
    <w:rsid w:val="008277A6"/>
    <w:rsid w:val="00830199"/>
    <w:rsid w:val="008333EA"/>
    <w:rsid w:val="008343A2"/>
    <w:rsid w:val="00842975"/>
    <w:rsid w:val="00845F48"/>
    <w:rsid w:val="008463DB"/>
    <w:rsid w:val="00846632"/>
    <w:rsid w:val="008519B8"/>
    <w:rsid w:val="00852011"/>
    <w:rsid w:val="00852AFF"/>
    <w:rsid w:val="00856948"/>
    <w:rsid w:val="00864CA7"/>
    <w:rsid w:val="00875B0E"/>
    <w:rsid w:val="00880669"/>
    <w:rsid w:val="00881FAF"/>
    <w:rsid w:val="00882DE4"/>
    <w:rsid w:val="008909B4"/>
    <w:rsid w:val="00890CB0"/>
    <w:rsid w:val="00891096"/>
    <w:rsid w:val="00893F37"/>
    <w:rsid w:val="00895329"/>
    <w:rsid w:val="008A08CC"/>
    <w:rsid w:val="008A4C6E"/>
    <w:rsid w:val="008B2D2E"/>
    <w:rsid w:val="008B67A9"/>
    <w:rsid w:val="008C0754"/>
    <w:rsid w:val="008C0FA9"/>
    <w:rsid w:val="008C4511"/>
    <w:rsid w:val="008C693C"/>
    <w:rsid w:val="008D16A8"/>
    <w:rsid w:val="008D17CF"/>
    <w:rsid w:val="008D2F2D"/>
    <w:rsid w:val="008D508B"/>
    <w:rsid w:val="008D6497"/>
    <w:rsid w:val="008D64D2"/>
    <w:rsid w:val="008D653D"/>
    <w:rsid w:val="008D65E8"/>
    <w:rsid w:val="008E2122"/>
    <w:rsid w:val="008E2C2E"/>
    <w:rsid w:val="008F03FC"/>
    <w:rsid w:val="008F0C6E"/>
    <w:rsid w:val="008F256B"/>
    <w:rsid w:val="008F320E"/>
    <w:rsid w:val="008F3214"/>
    <w:rsid w:val="008F5EDB"/>
    <w:rsid w:val="008F7167"/>
    <w:rsid w:val="009003CA"/>
    <w:rsid w:val="009079A8"/>
    <w:rsid w:val="009128A9"/>
    <w:rsid w:val="00920C14"/>
    <w:rsid w:val="00920F1E"/>
    <w:rsid w:val="009217E9"/>
    <w:rsid w:val="0092209D"/>
    <w:rsid w:val="009232C4"/>
    <w:rsid w:val="00926247"/>
    <w:rsid w:val="00931066"/>
    <w:rsid w:val="00931AEC"/>
    <w:rsid w:val="00932F34"/>
    <w:rsid w:val="00937135"/>
    <w:rsid w:val="00937F9F"/>
    <w:rsid w:val="00941334"/>
    <w:rsid w:val="00941CC8"/>
    <w:rsid w:val="00945529"/>
    <w:rsid w:val="009528A8"/>
    <w:rsid w:val="00955865"/>
    <w:rsid w:val="00956B13"/>
    <w:rsid w:val="00960342"/>
    <w:rsid w:val="009622F1"/>
    <w:rsid w:val="00963F01"/>
    <w:rsid w:val="00967045"/>
    <w:rsid w:val="0097062B"/>
    <w:rsid w:val="00975C51"/>
    <w:rsid w:val="00975C52"/>
    <w:rsid w:val="009822F7"/>
    <w:rsid w:val="00990268"/>
    <w:rsid w:val="00991DC0"/>
    <w:rsid w:val="009966CC"/>
    <w:rsid w:val="00997E7C"/>
    <w:rsid w:val="009A03DC"/>
    <w:rsid w:val="009A11CA"/>
    <w:rsid w:val="009B24AD"/>
    <w:rsid w:val="009B34E7"/>
    <w:rsid w:val="009B4110"/>
    <w:rsid w:val="009B7288"/>
    <w:rsid w:val="009C107D"/>
    <w:rsid w:val="009C1DB2"/>
    <w:rsid w:val="009C248C"/>
    <w:rsid w:val="009C27FD"/>
    <w:rsid w:val="009C572B"/>
    <w:rsid w:val="009D4ADF"/>
    <w:rsid w:val="009E0E4D"/>
    <w:rsid w:val="009E1B0E"/>
    <w:rsid w:val="009E507F"/>
    <w:rsid w:val="009E6B4B"/>
    <w:rsid w:val="009E74C9"/>
    <w:rsid w:val="009E7EEA"/>
    <w:rsid w:val="009F4A41"/>
    <w:rsid w:val="00A00F54"/>
    <w:rsid w:val="00A11C10"/>
    <w:rsid w:val="00A13B7A"/>
    <w:rsid w:val="00A13ED2"/>
    <w:rsid w:val="00A14B3F"/>
    <w:rsid w:val="00A15EFF"/>
    <w:rsid w:val="00A20946"/>
    <w:rsid w:val="00A305D4"/>
    <w:rsid w:val="00A31CD5"/>
    <w:rsid w:val="00A3351F"/>
    <w:rsid w:val="00A402D0"/>
    <w:rsid w:val="00A53673"/>
    <w:rsid w:val="00A5461A"/>
    <w:rsid w:val="00A547BD"/>
    <w:rsid w:val="00A5588B"/>
    <w:rsid w:val="00A60162"/>
    <w:rsid w:val="00A6030A"/>
    <w:rsid w:val="00A60FFD"/>
    <w:rsid w:val="00A6166B"/>
    <w:rsid w:val="00A65401"/>
    <w:rsid w:val="00A70D40"/>
    <w:rsid w:val="00A74F22"/>
    <w:rsid w:val="00A8027B"/>
    <w:rsid w:val="00A80917"/>
    <w:rsid w:val="00A80BB2"/>
    <w:rsid w:val="00A86E49"/>
    <w:rsid w:val="00A8759B"/>
    <w:rsid w:val="00A94183"/>
    <w:rsid w:val="00A9527E"/>
    <w:rsid w:val="00A96588"/>
    <w:rsid w:val="00AA27FC"/>
    <w:rsid w:val="00AA3C9A"/>
    <w:rsid w:val="00AB0A9F"/>
    <w:rsid w:val="00AB2463"/>
    <w:rsid w:val="00AB37DF"/>
    <w:rsid w:val="00AB3F91"/>
    <w:rsid w:val="00AB4A1F"/>
    <w:rsid w:val="00AB65CA"/>
    <w:rsid w:val="00AC17DE"/>
    <w:rsid w:val="00AC2ACB"/>
    <w:rsid w:val="00AC3C4F"/>
    <w:rsid w:val="00AC5812"/>
    <w:rsid w:val="00AD3946"/>
    <w:rsid w:val="00AD4F7F"/>
    <w:rsid w:val="00AD6054"/>
    <w:rsid w:val="00AD6A1D"/>
    <w:rsid w:val="00AD7DAD"/>
    <w:rsid w:val="00AE4A0A"/>
    <w:rsid w:val="00AE58FE"/>
    <w:rsid w:val="00AF44D5"/>
    <w:rsid w:val="00B01A83"/>
    <w:rsid w:val="00B06DA5"/>
    <w:rsid w:val="00B106F7"/>
    <w:rsid w:val="00B1707C"/>
    <w:rsid w:val="00B205E3"/>
    <w:rsid w:val="00B21522"/>
    <w:rsid w:val="00B4366F"/>
    <w:rsid w:val="00B45F5F"/>
    <w:rsid w:val="00B52B2C"/>
    <w:rsid w:val="00B5365B"/>
    <w:rsid w:val="00B53C09"/>
    <w:rsid w:val="00B5576D"/>
    <w:rsid w:val="00B56C08"/>
    <w:rsid w:val="00B6246C"/>
    <w:rsid w:val="00B66FA1"/>
    <w:rsid w:val="00B67D53"/>
    <w:rsid w:val="00B70A01"/>
    <w:rsid w:val="00B71CF8"/>
    <w:rsid w:val="00B7392C"/>
    <w:rsid w:val="00B75935"/>
    <w:rsid w:val="00B92FCE"/>
    <w:rsid w:val="00B9437B"/>
    <w:rsid w:val="00BA0F58"/>
    <w:rsid w:val="00BA741E"/>
    <w:rsid w:val="00BC1E99"/>
    <w:rsid w:val="00BC32DE"/>
    <w:rsid w:val="00BC3CCE"/>
    <w:rsid w:val="00BC4166"/>
    <w:rsid w:val="00BC77E5"/>
    <w:rsid w:val="00BD1DC6"/>
    <w:rsid w:val="00BD2B57"/>
    <w:rsid w:val="00BD770E"/>
    <w:rsid w:val="00BE1691"/>
    <w:rsid w:val="00BE36D1"/>
    <w:rsid w:val="00BE5F66"/>
    <w:rsid w:val="00BE78E5"/>
    <w:rsid w:val="00BF1C93"/>
    <w:rsid w:val="00BF45CA"/>
    <w:rsid w:val="00C04424"/>
    <w:rsid w:val="00C102A8"/>
    <w:rsid w:val="00C209E5"/>
    <w:rsid w:val="00C24C09"/>
    <w:rsid w:val="00C27DD3"/>
    <w:rsid w:val="00C30731"/>
    <w:rsid w:val="00C344FB"/>
    <w:rsid w:val="00C47033"/>
    <w:rsid w:val="00C4786F"/>
    <w:rsid w:val="00C47F84"/>
    <w:rsid w:val="00C50ED1"/>
    <w:rsid w:val="00C515A9"/>
    <w:rsid w:val="00C57639"/>
    <w:rsid w:val="00C64124"/>
    <w:rsid w:val="00C65689"/>
    <w:rsid w:val="00C660B0"/>
    <w:rsid w:val="00C722A7"/>
    <w:rsid w:val="00C73CFC"/>
    <w:rsid w:val="00C773B0"/>
    <w:rsid w:val="00C80CE8"/>
    <w:rsid w:val="00C84AC6"/>
    <w:rsid w:val="00C8593D"/>
    <w:rsid w:val="00C906B1"/>
    <w:rsid w:val="00C92575"/>
    <w:rsid w:val="00C9556C"/>
    <w:rsid w:val="00C969C3"/>
    <w:rsid w:val="00C9707A"/>
    <w:rsid w:val="00CA0650"/>
    <w:rsid w:val="00CA2151"/>
    <w:rsid w:val="00CA3AF2"/>
    <w:rsid w:val="00CA5F4C"/>
    <w:rsid w:val="00CA5F67"/>
    <w:rsid w:val="00CB08E0"/>
    <w:rsid w:val="00CB17BE"/>
    <w:rsid w:val="00CB32AE"/>
    <w:rsid w:val="00CC1AD4"/>
    <w:rsid w:val="00CC22AF"/>
    <w:rsid w:val="00CC5BF0"/>
    <w:rsid w:val="00CD4BA9"/>
    <w:rsid w:val="00CD7C10"/>
    <w:rsid w:val="00CE1937"/>
    <w:rsid w:val="00CE59A4"/>
    <w:rsid w:val="00CE5FA1"/>
    <w:rsid w:val="00CE6DBB"/>
    <w:rsid w:val="00CF17EA"/>
    <w:rsid w:val="00CF42B1"/>
    <w:rsid w:val="00CF71BB"/>
    <w:rsid w:val="00CF757C"/>
    <w:rsid w:val="00D017D2"/>
    <w:rsid w:val="00D01CE3"/>
    <w:rsid w:val="00D027CE"/>
    <w:rsid w:val="00D032AD"/>
    <w:rsid w:val="00D0392F"/>
    <w:rsid w:val="00D05905"/>
    <w:rsid w:val="00D07055"/>
    <w:rsid w:val="00D07AF3"/>
    <w:rsid w:val="00D111DD"/>
    <w:rsid w:val="00D127AA"/>
    <w:rsid w:val="00D1438B"/>
    <w:rsid w:val="00D15FD9"/>
    <w:rsid w:val="00D1639A"/>
    <w:rsid w:val="00D16D24"/>
    <w:rsid w:val="00D27730"/>
    <w:rsid w:val="00D27D6E"/>
    <w:rsid w:val="00D31AE7"/>
    <w:rsid w:val="00D33359"/>
    <w:rsid w:val="00D3426C"/>
    <w:rsid w:val="00D42BE0"/>
    <w:rsid w:val="00D4567B"/>
    <w:rsid w:val="00D5498B"/>
    <w:rsid w:val="00D62C6D"/>
    <w:rsid w:val="00D62DD2"/>
    <w:rsid w:val="00D637DA"/>
    <w:rsid w:val="00D73DFA"/>
    <w:rsid w:val="00D747CB"/>
    <w:rsid w:val="00D7482C"/>
    <w:rsid w:val="00D8564F"/>
    <w:rsid w:val="00D86FD5"/>
    <w:rsid w:val="00D92A1A"/>
    <w:rsid w:val="00D953CE"/>
    <w:rsid w:val="00D95AEC"/>
    <w:rsid w:val="00D95DD7"/>
    <w:rsid w:val="00DB05FA"/>
    <w:rsid w:val="00DD1260"/>
    <w:rsid w:val="00DD1CDB"/>
    <w:rsid w:val="00DD3A53"/>
    <w:rsid w:val="00DD68BD"/>
    <w:rsid w:val="00DE378B"/>
    <w:rsid w:val="00DE7489"/>
    <w:rsid w:val="00DF1949"/>
    <w:rsid w:val="00DF2B4F"/>
    <w:rsid w:val="00DF69B2"/>
    <w:rsid w:val="00DF6A70"/>
    <w:rsid w:val="00E000B3"/>
    <w:rsid w:val="00E01276"/>
    <w:rsid w:val="00E01890"/>
    <w:rsid w:val="00E03DFC"/>
    <w:rsid w:val="00E04F7C"/>
    <w:rsid w:val="00E15EBC"/>
    <w:rsid w:val="00E218BD"/>
    <w:rsid w:val="00E230E9"/>
    <w:rsid w:val="00E24E04"/>
    <w:rsid w:val="00E324A5"/>
    <w:rsid w:val="00E43C71"/>
    <w:rsid w:val="00E520C4"/>
    <w:rsid w:val="00E5228F"/>
    <w:rsid w:val="00E57C93"/>
    <w:rsid w:val="00E71782"/>
    <w:rsid w:val="00E741C0"/>
    <w:rsid w:val="00E75741"/>
    <w:rsid w:val="00E76645"/>
    <w:rsid w:val="00E90EA0"/>
    <w:rsid w:val="00E91CF1"/>
    <w:rsid w:val="00EA47E0"/>
    <w:rsid w:val="00EA7AAD"/>
    <w:rsid w:val="00EA7D16"/>
    <w:rsid w:val="00EB1206"/>
    <w:rsid w:val="00EB383A"/>
    <w:rsid w:val="00EB66FE"/>
    <w:rsid w:val="00EC5010"/>
    <w:rsid w:val="00EC5773"/>
    <w:rsid w:val="00EC6C92"/>
    <w:rsid w:val="00ED2231"/>
    <w:rsid w:val="00ED2732"/>
    <w:rsid w:val="00ED4875"/>
    <w:rsid w:val="00EF0B3E"/>
    <w:rsid w:val="00F03B15"/>
    <w:rsid w:val="00F11A50"/>
    <w:rsid w:val="00F143FF"/>
    <w:rsid w:val="00F15EE4"/>
    <w:rsid w:val="00F2370B"/>
    <w:rsid w:val="00F32382"/>
    <w:rsid w:val="00F334F4"/>
    <w:rsid w:val="00F44267"/>
    <w:rsid w:val="00F470E1"/>
    <w:rsid w:val="00F47D07"/>
    <w:rsid w:val="00F47F10"/>
    <w:rsid w:val="00F506B0"/>
    <w:rsid w:val="00F51EFC"/>
    <w:rsid w:val="00F55577"/>
    <w:rsid w:val="00F565CF"/>
    <w:rsid w:val="00F56FA0"/>
    <w:rsid w:val="00F61A80"/>
    <w:rsid w:val="00F625CC"/>
    <w:rsid w:val="00F64C87"/>
    <w:rsid w:val="00F667EB"/>
    <w:rsid w:val="00F6691C"/>
    <w:rsid w:val="00F753AE"/>
    <w:rsid w:val="00F755B4"/>
    <w:rsid w:val="00F75C12"/>
    <w:rsid w:val="00F823FA"/>
    <w:rsid w:val="00F8441E"/>
    <w:rsid w:val="00F905DA"/>
    <w:rsid w:val="00F94247"/>
    <w:rsid w:val="00F95685"/>
    <w:rsid w:val="00F95AED"/>
    <w:rsid w:val="00FB285D"/>
    <w:rsid w:val="00FB38FE"/>
    <w:rsid w:val="00FB416E"/>
    <w:rsid w:val="00FB6984"/>
    <w:rsid w:val="00FC0299"/>
    <w:rsid w:val="00FC03A5"/>
    <w:rsid w:val="00FC0EFA"/>
    <w:rsid w:val="00FC1220"/>
    <w:rsid w:val="00FC1A3B"/>
    <w:rsid w:val="00FC2833"/>
    <w:rsid w:val="00FD1E61"/>
    <w:rsid w:val="00FD37E5"/>
    <w:rsid w:val="00FE0556"/>
    <w:rsid w:val="00FE5505"/>
    <w:rsid w:val="00FE5987"/>
    <w:rsid w:val="00FE5AF7"/>
    <w:rsid w:val="00FF05E5"/>
    <w:rsid w:val="00FF07C4"/>
    <w:rsid w:val="22D85FD2"/>
    <w:rsid w:val="361D35B6"/>
    <w:rsid w:val="7E475D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0" w:line="240" w:lineRule="auto"/>
    </w:pPr>
    <w:rPr>
      <w:rFonts w:asciiTheme="minorHAnsi" w:hAnsiTheme="minorHAnsi" w:eastAsiaTheme="minorEastAsia" w:cstheme="minorBidi"/>
      <w:color w:val="635A54" w:themeColor="text1"/>
      <w:lang w:val="en-GB" w:eastAsia="en-US" w:bidi="ar-SA"/>
      <w14:textFill>
        <w14:solidFill>
          <w14:schemeClr w14:val="tx1"/>
        </w14:solidFill>
      </w14:textFill>
    </w:rPr>
  </w:style>
  <w:style w:type="paragraph" w:styleId="2">
    <w:name w:val="heading 1"/>
    <w:basedOn w:val="1"/>
    <w:next w:val="1"/>
    <w:link w:val="47"/>
    <w:qFormat/>
    <w:uiPriority w:val="0"/>
    <w:pPr>
      <w:keepNext/>
      <w:keepLines/>
      <w:outlineLvl w:val="0"/>
    </w:pPr>
    <w:rPr>
      <w:rFonts w:asciiTheme="majorHAnsi" w:hAnsiTheme="majorHAnsi" w:eastAsiaTheme="majorEastAsia" w:cstheme="majorBidi"/>
      <w:b/>
      <w:bCs/>
      <w:color w:val="FF6600" w:themeColor="background2"/>
      <w:szCs w:val="28"/>
      <w14:textFill>
        <w14:solidFill>
          <w14:schemeClr w14:val="bg2"/>
        </w14:solidFill>
      </w14:textFill>
    </w:rPr>
  </w:style>
  <w:style w:type="paragraph" w:styleId="3">
    <w:name w:val="heading 2"/>
    <w:basedOn w:val="1"/>
    <w:next w:val="1"/>
    <w:link w:val="48"/>
    <w:unhideWhenUsed/>
    <w:qFormat/>
    <w:uiPriority w:val="0"/>
    <w:pPr>
      <w:keepNext/>
      <w:keepLines/>
      <w:outlineLvl w:val="1"/>
    </w:pPr>
    <w:rPr>
      <w:rFonts w:asciiTheme="majorHAnsi" w:hAnsiTheme="majorHAnsi" w:eastAsiaTheme="majorEastAsia" w:cstheme="majorBidi"/>
      <w:b/>
      <w:bCs/>
      <w:szCs w:val="26"/>
    </w:rPr>
  </w:style>
  <w:style w:type="paragraph" w:styleId="4">
    <w:name w:val="heading 3"/>
    <w:basedOn w:val="1"/>
    <w:next w:val="1"/>
    <w:link w:val="49"/>
    <w:unhideWhenUsed/>
    <w:qFormat/>
    <w:uiPriority w:val="0"/>
    <w:pPr>
      <w:keepNext/>
      <w:keepLines/>
      <w:outlineLvl w:val="2"/>
    </w:pPr>
    <w:rPr>
      <w:rFonts w:asciiTheme="majorHAnsi" w:hAnsiTheme="majorHAnsi" w:eastAsiaTheme="majorEastAsia" w:cstheme="majorBidi"/>
      <w:bCs/>
    </w:rPr>
  </w:style>
  <w:style w:type="paragraph" w:styleId="5">
    <w:name w:val="heading 4"/>
    <w:basedOn w:val="1"/>
    <w:next w:val="1"/>
    <w:link w:val="50"/>
    <w:unhideWhenUsed/>
    <w:qFormat/>
    <w:uiPriority w:val="0"/>
    <w:pPr>
      <w:keepNext/>
      <w:keepLines/>
      <w:spacing w:before="200"/>
      <w:outlineLvl w:val="3"/>
    </w:pPr>
    <w:rPr>
      <w:rFonts w:asciiTheme="majorHAnsi" w:hAnsiTheme="majorHAnsi" w:eastAsiaTheme="majorEastAsia" w:cstheme="majorBidi"/>
      <w:bCs/>
      <w:iCs/>
      <w:color w:val="9A8B7D" w:themeColor="text2"/>
      <w14:textFill>
        <w14:solidFill>
          <w14:schemeClr w14:val="tx2"/>
        </w14:solidFill>
      </w14:textFill>
    </w:rPr>
  </w:style>
  <w:style w:type="paragraph" w:styleId="6">
    <w:name w:val="heading 5"/>
    <w:basedOn w:val="1"/>
    <w:next w:val="1"/>
    <w:link w:val="64"/>
    <w:qFormat/>
    <w:uiPriority w:val="0"/>
    <w:pPr>
      <w:tabs>
        <w:tab w:val="left" w:pos="1008"/>
      </w:tabs>
      <w:spacing w:before="240" w:after="60" w:line="295" w:lineRule="atLeast"/>
      <w:ind w:left="1008" w:hanging="1008"/>
      <w:outlineLvl w:val="4"/>
    </w:pPr>
    <w:rPr>
      <w:rFonts w:ascii="Bosch Office Sans" w:hAnsi="Bosch Office Sans" w:eastAsia="宋体" w:cs="Times New Roman"/>
      <w:b/>
      <w:bCs/>
      <w:i/>
      <w:iCs/>
      <w:color w:val="auto"/>
      <w:sz w:val="26"/>
      <w:szCs w:val="26"/>
    </w:rPr>
  </w:style>
  <w:style w:type="paragraph" w:styleId="7">
    <w:name w:val="heading 6"/>
    <w:basedOn w:val="1"/>
    <w:next w:val="1"/>
    <w:link w:val="65"/>
    <w:qFormat/>
    <w:uiPriority w:val="0"/>
    <w:pPr>
      <w:tabs>
        <w:tab w:val="left" w:pos="1152"/>
      </w:tabs>
      <w:spacing w:before="240" w:after="60" w:line="295" w:lineRule="atLeast"/>
      <w:ind w:left="1152" w:hanging="1152"/>
      <w:outlineLvl w:val="5"/>
    </w:pPr>
    <w:rPr>
      <w:rFonts w:ascii="Bosch Office Sans" w:hAnsi="Bosch Office Sans" w:eastAsia="宋体" w:cs="Times New Roman"/>
      <w:b/>
      <w:bCs/>
      <w:color w:val="auto"/>
      <w:sz w:val="22"/>
      <w:szCs w:val="22"/>
    </w:rPr>
  </w:style>
  <w:style w:type="paragraph" w:styleId="8">
    <w:name w:val="heading 7"/>
    <w:basedOn w:val="1"/>
    <w:next w:val="1"/>
    <w:link w:val="66"/>
    <w:qFormat/>
    <w:uiPriority w:val="0"/>
    <w:pPr>
      <w:tabs>
        <w:tab w:val="left" w:pos="1296"/>
      </w:tabs>
      <w:spacing w:before="240" w:after="60" w:line="295" w:lineRule="atLeast"/>
      <w:ind w:left="1296" w:hanging="1296"/>
      <w:outlineLvl w:val="6"/>
    </w:pPr>
    <w:rPr>
      <w:rFonts w:ascii="Bosch Office Sans" w:hAnsi="Bosch Office Sans" w:eastAsia="宋体" w:cs="Times New Roman"/>
      <w:color w:val="auto"/>
      <w:sz w:val="22"/>
      <w:szCs w:val="24"/>
    </w:rPr>
  </w:style>
  <w:style w:type="paragraph" w:styleId="9">
    <w:name w:val="heading 8"/>
    <w:basedOn w:val="1"/>
    <w:next w:val="1"/>
    <w:link w:val="67"/>
    <w:qFormat/>
    <w:uiPriority w:val="0"/>
    <w:pPr>
      <w:tabs>
        <w:tab w:val="left" w:pos="1440"/>
      </w:tabs>
      <w:spacing w:before="240" w:after="60" w:line="295" w:lineRule="atLeast"/>
      <w:ind w:left="1440" w:hanging="1440"/>
      <w:outlineLvl w:val="7"/>
    </w:pPr>
    <w:rPr>
      <w:rFonts w:ascii="Bosch Office Sans" w:hAnsi="Bosch Office Sans" w:eastAsia="宋体" w:cs="Times New Roman"/>
      <w:i/>
      <w:iCs/>
      <w:color w:val="auto"/>
      <w:sz w:val="22"/>
      <w:szCs w:val="24"/>
    </w:rPr>
  </w:style>
  <w:style w:type="paragraph" w:styleId="10">
    <w:name w:val="heading 9"/>
    <w:basedOn w:val="1"/>
    <w:next w:val="1"/>
    <w:link w:val="68"/>
    <w:qFormat/>
    <w:uiPriority w:val="0"/>
    <w:pPr>
      <w:tabs>
        <w:tab w:val="left" w:pos="1584"/>
      </w:tabs>
      <w:spacing w:before="240" w:after="60" w:line="295" w:lineRule="atLeast"/>
      <w:ind w:left="1584" w:hanging="1584"/>
      <w:outlineLvl w:val="8"/>
    </w:pPr>
    <w:rPr>
      <w:rFonts w:ascii="Bosch Office Sans" w:hAnsi="Bosch Office Sans" w:eastAsia="宋体" w:cs="Arial"/>
      <w:color w:val="auto"/>
      <w:sz w:val="22"/>
      <w:szCs w:val="22"/>
    </w:rPr>
  </w:style>
  <w:style w:type="character" w:default="1" w:styleId="27">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61"/>
    <w:semiHidden/>
    <w:unhideWhenUsed/>
    <w:qFormat/>
    <w:uiPriority w:val="99"/>
  </w:style>
  <w:style w:type="paragraph" w:styleId="12">
    <w:name w:val="Body Text"/>
    <w:basedOn w:val="1"/>
    <w:link w:val="63"/>
    <w:unhideWhenUsed/>
    <w:qFormat/>
    <w:uiPriority w:val="99"/>
    <w:pPr>
      <w:spacing w:after="120" w:line="360" w:lineRule="auto"/>
      <w:ind w:left="714" w:hanging="357"/>
    </w:pPr>
    <w:rPr>
      <w:rFonts w:ascii="Times New Roman" w:hAnsi="Times New Roman" w:eastAsia="宋体" w:cs="Times New Roman"/>
      <w:color w:val="auto"/>
      <w:kern w:val="2"/>
      <w:sz w:val="21"/>
      <w:lang w:val="zh-CN" w:eastAsia="zh-CN"/>
    </w:rPr>
  </w:style>
  <w:style w:type="paragraph" w:styleId="13">
    <w:name w:val="Plain Text"/>
    <w:basedOn w:val="1"/>
    <w:link w:val="58"/>
    <w:unhideWhenUsed/>
    <w:qFormat/>
    <w:uiPriority w:val="99"/>
    <w:pPr>
      <w:widowControl w:val="0"/>
    </w:pPr>
    <w:rPr>
      <w:rFonts w:ascii="Calibri" w:hAnsi="Courier New" w:eastAsia="宋体" w:cs="Courier New"/>
      <w:color w:val="auto"/>
      <w:kern w:val="2"/>
      <w:sz w:val="21"/>
      <w:szCs w:val="21"/>
      <w:lang w:val="en-US" w:eastAsia="zh-CN"/>
    </w:rPr>
  </w:style>
  <w:style w:type="paragraph" w:styleId="14">
    <w:name w:val="Balloon Text"/>
    <w:basedOn w:val="1"/>
    <w:link w:val="32"/>
    <w:semiHidden/>
    <w:unhideWhenUsed/>
    <w:qFormat/>
    <w:uiPriority w:val="99"/>
    <w:rPr>
      <w:rFonts w:ascii="Tahoma" w:hAnsi="Tahoma" w:cs="Tahoma"/>
      <w:sz w:val="16"/>
      <w:szCs w:val="16"/>
    </w:rPr>
  </w:style>
  <w:style w:type="paragraph" w:styleId="15">
    <w:name w:val="footer"/>
    <w:basedOn w:val="1"/>
    <w:link w:val="31"/>
    <w:unhideWhenUsed/>
    <w:qFormat/>
    <w:uiPriority w:val="99"/>
    <w:pPr>
      <w:tabs>
        <w:tab w:val="center" w:pos="4513"/>
        <w:tab w:val="right" w:pos="9026"/>
      </w:tabs>
    </w:pPr>
  </w:style>
  <w:style w:type="paragraph" w:styleId="16">
    <w:name w:val="header"/>
    <w:basedOn w:val="1"/>
    <w:link w:val="30"/>
    <w:unhideWhenUsed/>
    <w:qFormat/>
    <w:uiPriority w:val="0"/>
    <w:pPr>
      <w:tabs>
        <w:tab w:val="center" w:pos="4513"/>
        <w:tab w:val="right" w:pos="9026"/>
      </w:tabs>
    </w:pPr>
    <w:rPr>
      <w:b/>
      <w:color w:val="FF6600" w:themeColor="background2"/>
      <w:sz w:val="26"/>
      <w14:textFill>
        <w14:solidFill>
          <w14:schemeClr w14:val="bg2"/>
        </w14:solidFill>
      </w14:textFill>
    </w:rPr>
  </w:style>
  <w:style w:type="paragraph" w:styleId="17">
    <w:name w:val="Normal (Web)"/>
    <w:basedOn w:val="1"/>
    <w:unhideWhenUsed/>
    <w:qFormat/>
    <w:uiPriority w:val="99"/>
    <w:pPr>
      <w:spacing w:before="100" w:beforeAutospacing="1" w:after="100" w:afterAutospacing="1"/>
    </w:pPr>
    <w:rPr>
      <w:rFonts w:ascii="宋体" w:hAnsi="宋体" w:eastAsia="宋体" w:cs="宋体"/>
      <w:color w:val="auto"/>
      <w:sz w:val="24"/>
      <w:szCs w:val="24"/>
      <w:lang w:val="en-US" w:eastAsia="zh-CN"/>
    </w:rPr>
  </w:style>
  <w:style w:type="paragraph" w:styleId="18">
    <w:name w:val="annotation subject"/>
    <w:basedOn w:val="11"/>
    <w:next w:val="11"/>
    <w:link w:val="62"/>
    <w:semiHidden/>
    <w:unhideWhenUsed/>
    <w:qFormat/>
    <w:uiPriority w:val="99"/>
    <w:rPr>
      <w:b/>
      <w:bCs/>
    </w:rPr>
  </w:style>
  <w:style w:type="table" w:styleId="20">
    <w:name w:val="Table Grid"/>
    <w:basedOn w:val="19"/>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Light Shading Accent 6"/>
    <w:basedOn w:val="19"/>
    <w:qFormat/>
    <w:uiPriority w:val="60"/>
    <w:pPr>
      <w:spacing w:after="0" w:line="240" w:lineRule="auto"/>
    </w:pPr>
    <w:rPr>
      <w:color w:val="386219" w:themeColor="accent6" w:themeShade="BF"/>
    </w:rPr>
    <w:tblPr>
      <w:tblBorders>
        <w:top w:val="single" w:color="4A8322" w:themeColor="accent6" w:sz="8" w:space="0"/>
        <w:bottom w:val="single" w:color="4A8322"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A8322" w:themeColor="accent6" w:sz="8" w:space="0"/>
          <w:left w:val="nil"/>
          <w:bottom w:val="single" w:color="4A8322" w:themeColor="accent6" w:sz="8" w:space="0"/>
          <w:right w:val="nil"/>
          <w:insideH w:val="nil"/>
          <w:insideV w:val="nil"/>
        </w:tcBorders>
      </w:tcPr>
    </w:tblStylePr>
    <w:tblStylePr w:type="lastRow">
      <w:pPr>
        <w:spacing w:before="0" w:after="0" w:line="240" w:lineRule="auto"/>
      </w:pPr>
      <w:rPr>
        <w:b/>
        <w:bCs/>
      </w:rPr>
      <w:tblPr/>
      <w:tcPr>
        <w:tcBorders>
          <w:top w:val="single" w:color="4A8322" w:themeColor="accent6" w:sz="8" w:space="0"/>
          <w:left w:val="nil"/>
          <w:bottom w:val="single" w:color="4A8322"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DBB" w:themeFill="accent6" w:themeFillTint="3F"/>
      </w:tcPr>
    </w:tblStylePr>
    <w:tblStylePr w:type="band1Horz">
      <w:tblPr/>
      <w:tcPr>
        <w:tcBorders>
          <w:left w:val="nil"/>
          <w:right w:val="nil"/>
          <w:insideH w:val="nil"/>
          <w:insideV w:val="nil"/>
        </w:tcBorders>
        <w:shd w:val="clear" w:color="auto" w:fill="CFEDBB" w:themeFill="accent6" w:themeFillTint="3F"/>
      </w:tcPr>
    </w:tblStylePr>
  </w:style>
  <w:style w:type="table" w:styleId="22">
    <w:name w:val="Light List Accent 4"/>
    <w:basedOn w:val="19"/>
    <w:uiPriority w:val="61"/>
    <w:pPr>
      <w:spacing w:after="0" w:line="240" w:lineRule="auto"/>
    </w:pPr>
    <w:tblPr>
      <w:tblBorders>
        <w:top w:val="single" w:color="00B6C9" w:themeColor="accent4" w:sz="8" w:space="0"/>
        <w:left w:val="single" w:color="00B6C9" w:themeColor="accent4" w:sz="8" w:space="0"/>
        <w:bottom w:val="single" w:color="00B6C9" w:themeColor="accent4" w:sz="8" w:space="0"/>
        <w:right w:val="single" w:color="00B6C9"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B6C9" w:themeFill="accent4"/>
      </w:tcPr>
    </w:tblStylePr>
    <w:tblStylePr w:type="lastRow">
      <w:pPr>
        <w:spacing w:before="0" w:after="0" w:line="240" w:lineRule="auto"/>
      </w:pPr>
      <w:rPr>
        <w:b/>
        <w:bCs/>
      </w:rPr>
      <w:tblPr/>
      <w:tcPr>
        <w:tcBorders>
          <w:top w:val="double" w:color="00B6C9" w:themeColor="accent4" w:sz="6" w:space="0"/>
          <w:left w:val="single" w:color="00B6C9" w:themeColor="accent4" w:sz="8" w:space="0"/>
          <w:bottom w:val="single" w:color="00B6C9" w:themeColor="accent4" w:sz="8" w:space="0"/>
          <w:right w:val="single" w:color="00B6C9" w:themeColor="accent4" w:sz="8" w:space="0"/>
        </w:tcBorders>
      </w:tcPr>
    </w:tblStylePr>
    <w:tblStylePr w:type="firstCol">
      <w:rPr>
        <w:b/>
        <w:bCs/>
      </w:rPr>
    </w:tblStylePr>
    <w:tblStylePr w:type="lastCol">
      <w:rPr>
        <w:b/>
        <w:bCs/>
      </w:rPr>
    </w:tblStylePr>
    <w:tblStylePr w:type="band1Vert">
      <w:tblPr/>
      <w:tcPr>
        <w:tcBorders>
          <w:top w:val="single" w:color="00B6C9" w:themeColor="accent4" w:sz="8" w:space="0"/>
          <w:left w:val="single" w:color="00B6C9" w:themeColor="accent4" w:sz="8" w:space="0"/>
          <w:bottom w:val="single" w:color="00B6C9" w:themeColor="accent4" w:sz="8" w:space="0"/>
          <w:right w:val="single" w:color="00B6C9" w:themeColor="accent4" w:sz="8" w:space="0"/>
        </w:tcBorders>
      </w:tcPr>
    </w:tblStylePr>
    <w:tblStylePr w:type="band1Horz">
      <w:tblPr/>
      <w:tcPr>
        <w:tcBorders>
          <w:top w:val="single" w:color="00B6C9" w:themeColor="accent4" w:sz="8" w:space="0"/>
          <w:left w:val="single" w:color="00B6C9" w:themeColor="accent4" w:sz="8" w:space="0"/>
          <w:bottom w:val="single" w:color="00B6C9" w:themeColor="accent4" w:sz="8" w:space="0"/>
          <w:right w:val="single" w:color="00B6C9" w:themeColor="accent4" w:sz="8" w:space="0"/>
        </w:tcBorders>
      </w:tcPr>
    </w:tblStylePr>
  </w:style>
  <w:style w:type="table" w:styleId="23">
    <w:name w:val="Light List Accent 5"/>
    <w:basedOn w:val="19"/>
    <w:qFormat/>
    <w:uiPriority w:val="61"/>
    <w:pPr>
      <w:spacing w:after="0" w:line="240" w:lineRule="auto"/>
    </w:pPr>
    <w:tblPr>
      <w:tblBorders>
        <w:top w:val="single" w:color="BE0077" w:themeColor="accent5" w:sz="8" w:space="0"/>
        <w:left w:val="single" w:color="BE0077" w:themeColor="accent5" w:sz="8" w:space="0"/>
        <w:bottom w:val="single" w:color="BE0077" w:themeColor="accent5" w:sz="8" w:space="0"/>
        <w:right w:val="single" w:color="BE0077"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BE0077" w:themeFill="accent5"/>
      </w:tcPr>
    </w:tblStylePr>
    <w:tblStylePr w:type="lastRow">
      <w:pPr>
        <w:spacing w:before="0" w:after="0" w:line="240" w:lineRule="auto"/>
      </w:pPr>
      <w:rPr>
        <w:b/>
        <w:bCs/>
      </w:rPr>
      <w:tblPr/>
      <w:tcPr>
        <w:tcBorders>
          <w:top w:val="double" w:color="BE0077" w:themeColor="accent5" w:sz="6" w:space="0"/>
          <w:left w:val="single" w:color="BE0077" w:themeColor="accent5" w:sz="8" w:space="0"/>
          <w:bottom w:val="single" w:color="BE0077" w:themeColor="accent5" w:sz="8" w:space="0"/>
          <w:right w:val="single" w:color="BE0077" w:themeColor="accent5" w:sz="8" w:space="0"/>
        </w:tcBorders>
      </w:tcPr>
    </w:tblStylePr>
    <w:tblStylePr w:type="firstCol">
      <w:rPr>
        <w:b/>
        <w:bCs/>
      </w:rPr>
    </w:tblStylePr>
    <w:tblStylePr w:type="lastCol">
      <w:rPr>
        <w:b/>
        <w:bCs/>
      </w:rPr>
    </w:tblStylePr>
    <w:tblStylePr w:type="band1Vert">
      <w:tblPr/>
      <w:tcPr>
        <w:tcBorders>
          <w:top w:val="single" w:color="BE0077" w:themeColor="accent5" w:sz="8" w:space="0"/>
          <w:left w:val="single" w:color="BE0077" w:themeColor="accent5" w:sz="8" w:space="0"/>
          <w:bottom w:val="single" w:color="BE0077" w:themeColor="accent5" w:sz="8" w:space="0"/>
          <w:right w:val="single" w:color="BE0077" w:themeColor="accent5" w:sz="8" w:space="0"/>
        </w:tcBorders>
      </w:tcPr>
    </w:tblStylePr>
    <w:tblStylePr w:type="band1Horz">
      <w:tblPr/>
      <w:tcPr>
        <w:tcBorders>
          <w:top w:val="single" w:color="BE0077" w:themeColor="accent5" w:sz="8" w:space="0"/>
          <w:left w:val="single" w:color="BE0077" w:themeColor="accent5" w:sz="8" w:space="0"/>
          <w:bottom w:val="single" w:color="BE0077" w:themeColor="accent5" w:sz="8" w:space="0"/>
          <w:right w:val="single" w:color="BE0077" w:themeColor="accent5" w:sz="8" w:space="0"/>
        </w:tcBorders>
      </w:tcPr>
    </w:tblStylePr>
  </w:style>
  <w:style w:type="table" w:styleId="24">
    <w:name w:val="Light List Accent 6"/>
    <w:basedOn w:val="19"/>
    <w:qFormat/>
    <w:uiPriority w:val="61"/>
    <w:pPr>
      <w:spacing w:after="0" w:line="240" w:lineRule="auto"/>
    </w:pPr>
    <w:tblPr>
      <w:tblBorders>
        <w:insideH w:val="single" w:color="635A54" w:themeColor="text1" w:sz="4"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nil"/>
          <w:left w:val="nil"/>
          <w:bottom w:val="nil"/>
          <w:right w:val="nil"/>
          <w:insideH w:val="nil"/>
          <w:insideV w:val="nil"/>
          <w:tl2br w:val="nil"/>
          <w:tr2bl w:val="nil"/>
        </w:tcBorders>
        <w:shd w:val="clear" w:color="auto" w:fill="4A8322" w:themeFill="accent6"/>
      </w:tcPr>
    </w:tblStylePr>
    <w:tblStylePr w:type="lastRow">
      <w:pPr>
        <w:spacing w:before="0" w:after="0" w:line="240" w:lineRule="auto"/>
      </w:pPr>
      <w:rPr>
        <w:b/>
        <w:bCs/>
      </w:rPr>
      <w:tblPr/>
      <w:tcPr>
        <w:tcBorders>
          <w:top w:val="double" w:color="4A8322" w:themeColor="accent6" w:sz="6" w:space="0"/>
          <w:left w:val="single" w:color="4A8322" w:themeColor="accent6" w:sz="8" w:space="0"/>
          <w:bottom w:val="single" w:color="4A8322" w:themeColor="accent6" w:sz="8" w:space="0"/>
          <w:right w:val="single" w:color="4A8322" w:themeColor="accent6" w:sz="8" w:space="0"/>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single" w:sz="4" w:space="0"/>
          <w:insideV w:val="nil"/>
          <w:tl2br w:val="nil"/>
          <w:tr2bl w:val="nil"/>
        </w:tcBorders>
        <w:vAlign w:val="center"/>
      </w:tcPr>
    </w:tblStylePr>
    <w:tblStylePr w:type="band2Horz">
      <w:tcPr>
        <w:tcBorders>
          <w:top w:val="nil"/>
          <w:left w:val="nil"/>
          <w:bottom w:val="nil"/>
          <w:right w:val="nil"/>
          <w:insideH w:val="single" w:sz="4" w:space="0"/>
          <w:insideV w:val="nil"/>
          <w:tl2br w:val="nil"/>
          <w:tr2bl w:val="nil"/>
        </w:tcBorders>
      </w:tcPr>
    </w:tblStylePr>
  </w:style>
  <w:style w:type="table" w:styleId="25">
    <w:name w:val="Light Grid Accent 6"/>
    <w:basedOn w:val="19"/>
    <w:qFormat/>
    <w:uiPriority w:val="62"/>
    <w:pPr>
      <w:spacing w:after="0" w:line="240" w:lineRule="auto"/>
    </w:pPr>
    <w:tblPr>
      <w:tblBorders>
        <w:top w:val="single" w:color="4A8322" w:themeColor="accent6" w:sz="8" w:space="0"/>
        <w:left w:val="single" w:color="4A8322" w:themeColor="accent6" w:sz="8" w:space="0"/>
        <w:bottom w:val="single" w:color="4A8322" w:themeColor="accent6" w:sz="8" w:space="0"/>
        <w:right w:val="single" w:color="4A8322" w:themeColor="accent6" w:sz="8" w:space="0"/>
        <w:insideH w:val="single" w:color="4A8322" w:themeColor="accent6" w:sz="8" w:space="0"/>
        <w:insideV w:val="single" w:color="4A8322"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A8322" w:themeColor="accent6" w:sz="8" w:space="0"/>
          <w:left w:val="single" w:color="4A8322" w:themeColor="accent6" w:sz="8" w:space="0"/>
          <w:bottom w:val="single" w:color="4A8322" w:themeColor="accent6" w:sz="18" w:space="0"/>
          <w:right w:val="single" w:color="4A8322"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A8322" w:themeColor="accent6" w:sz="6" w:space="0"/>
          <w:left w:val="single" w:color="4A8322" w:themeColor="accent6" w:sz="8" w:space="0"/>
          <w:bottom w:val="single" w:color="4A8322" w:themeColor="accent6" w:sz="8" w:space="0"/>
          <w:right w:val="single" w:color="4A8322"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A8322" w:themeColor="accent6" w:sz="8" w:space="0"/>
          <w:left w:val="single" w:color="4A8322" w:themeColor="accent6" w:sz="8" w:space="0"/>
          <w:bottom w:val="single" w:color="4A8322" w:themeColor="accent6" w:sz="8" w:space="0"/>
          <w:right w:val="single" w:color="4A8322" w:themeColor="accent6" w:sz="8" w:space="0"/>
        </w:tcBorders>
      </w:tcPr>
    </w:tblStylePr>
    <w:tblStylePr w:type="band1Vert">
      <w:tblPr/>
      <w:tcPr>
        <w:tcBorders>
          <w:top w:val="single" w:color="4A8322" w:themeColor="accent6" w:sz="8" w:space="0"/>
          <w:left w:val="single" w:color="4A8322" w:themeColor="accent6" w:sz="8" w:space="0"/>
          <w:bottom w:val="single" w:color="4A8322" w:themeColor="accent6" w:sz="8" w:space="0"/>
          <w:right w:val="single" w:color="4A8322" w:themeColor="accent6" w:sz="8" w:space="0"/>
        </w:tcBorders>
        <w:shd w:val="clear" w:color="auto" w:fill="CFEDBB" w:themeFill="accent6" w:themeFillTint="3F"/>
      </w:tcPr>
    </w:tblStylePr>
    <w:tblStylePr w:type="band1Horz">
      <w:tblPr/>
      <w:tcPr>
        <w:tcBorders>
          <w:top w:val="single" w:color="4A8322" w:themeColor="accent6" w:sz="8" w:space="0"/>
          <w:left w:val="single" w:color="4A8322" w:themeColor="accent6" w:sz="8" w:space="0"/>
          <w:bottom w:val="single" w:color="4A8322" w:themeColor="accent6" w:sz="8" w:space="0"/>
          <w:right w:val="single" w:color="4A8322" w:themeColor="accent6" w:sz="8" w:space="0"/>
          <w:insideV w:val="single" w:sz="8" w:space="0"/>
        </w:tcBorders>
        <w:shd w:val="clear" w:color="auto" w:fill="CFEDBB" w:themeFill="accent6" w:themeFillTint="3F"/>
      </w:tcPr>
    </w:tblStylePr>
    <w:tblStylePr w:type="band2Horz">
      <w:tblPr/>
      <w:tcPr>
        <w:tcBorders>
          <w:top w:val="single" w:color="4A8322" w:themeColor="accent6" w:sz="8" w:space="0"/>
          <w:left w:val="single" w:color="4A8322" w:themeColor="accent6" w:sz="8" w:space="0"/>
          <w:bottom w:val="single" w:color="4A8322" w:themeColor="accent6" w:sz="8" w:space="0"/>
          <w:right w:val="single" w:color="4A8322" w:themeColor="accent6" w:sz="8" w:space="0"/>
          <w:insideV w:val="single" w:sz="8" w:space="0"/>
        </w:tcBorders>
      </w:tcPr>
    </w:tblStylePr>
  </w:style>
  <w:style w:type="table" w:styleId="26">
    <w:name w:val="Colorful Shading Accent 6"/>
    <w:basedOn w:val="19"/>
    <w:qFormat/>
    <w:uiPriority w:val="71"/>
    <w:pPr>
      <w:spacing w:after="0" w:line="240" w:lineRule="auto"/>
    </w:pPr>
    <w:rPr>
      <w:color w:val="000000"/>
    </w:rPr>
    <w:tblPr>
      <w:tblBorders>
        <w:top w:val="single" w:color="BE0077" w:themeColor="accent5" w:sz="24" w:space="0"/>
        <w:left w:val="single" w:color="4A8322" w:themeColor="accent6" w:sz="4" w:space="0"/>
        <w:bottom w:val="single" w:color="4A8322" w:themeColor="accent6" w:sz="4" w:space="0"/>
        <w:right w:val="single" w:color="4A8322"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CF8E4" w:themeFill="accent6" w:themeFillTint="19"/>
    </w:tcPr>
    <w:tblStylePr w:type="firstRow">
      <w:rPr>
        <w:b/>
        <w:bCs/>
      </w:rPr>
      <w:tblPr/>
      <w:tcPr>
        <w:tcBorders>
          <w:top w:val="nil"/>
          <w:left w:val="nil"/>
          <w:bottom w:val="single" w:color="BE0077"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C4E14"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C4E14"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C4E14" w:themeFill="accent6" w:themeFillShade="99"/>
      </w:tcPr>
    </w:tblStylePr>
    <w:tblStylePr w:type="band1Vert">
      <w:tblPr/>
      <w:tcPr>
        <w:shd w:val="clear" w:color="auto" w:fill="B2E291" w:themeFill="accent6" w:themeFillTint="66"/>
      </w:tcPr>
    </w:tblStylePr>
    <w:tblStylePr w:type="band1Horz">
      <w:tblPr/>
      <w:tcPr>
        <w:shd w:val="clear" w:color="auto" w:fill="A0DB76" w:themeFill="accent6" w:themeFillTint="7F"/>
      </w:tcPr>
    </w:tblStylePr>
    <w:tblStylePr w:type="neCell">
      <w:rPr>
        <w:color w:val="635A54" w:themeColor="text1"/>
        <w14:textFill>
          <w14:solidFill>
            <w14:schemeClr w14:val="tx1"/>
          </w14:solidFill>
        </w14:textFill>
      </w:rPr>
    </w:tblStylePr>
    <w:tblStylePr w:type="nwCell">
      <w:rPr>
        <w:color w:val="635A54" w:themeColor="text1"/>
        <w14:textFill>
          <w14:solidFill>
            <w14:schemeClr w14:val="tx1"/>
          </w14:solidFill>
        </w14:textFill>
      </w:rPr>
    </w:tblStylePr>
  </w:style>
  <w:style w:type="character" w:styleId="28">
    <w:name w:val="Hyperlink"/>
    <w:basedOn w:val="27"/>
    <w:unhideWhenUsed/>
    <w:qFormat/>
    <w:uiPriority w:val="99"/>
    <w:rPr>
      <w:color w:val="FF6600" w:themeColor="hyperlink"/>
      <w:u w:val="single"/>
      <w14:textFill>
        <w14:solidFill>
          <w14:schemeClr w14:val="hlink"/>
        </w14:solidFill>
      </w14:textFill>
    </w:rPr>
  </w:style>
  <w:style w:type="character" w:styleId="29">
    <w:name w:val="annotation reference"/>
    <w:basedOn w:val="27"/>
    <w:semiHidden/>
    <w:unhideWhenUsed/>
    <w:qFormat/>
    <w:uiPriority w:val="99"/>
    <w:rPr>
      <w:sz w:val="21"/>
      <w:szCs w:val="21"/>
    </w:rPr>
  </w:style>
  <w:style w:type="character" w:customStyle="1" w:styleId="30">
    <w:name w:val="页眉 Char"/>
    <w:basedOn w:val="27"/>
    <w:link w:val="16"/>
    <w:qFormat/>
    <w:uiPriority w:val="0"/>
    <w:rPr>
      <w:b/>
      <w:color w:val="FF6600" w:themeColor="background2"/>
      <w:sz w:val="26"/>
      <w14:textFill>
        <w14:solidFill>
          <w14:schemeClr w14:val="bg2"/>
        </w14:solidFill>
      </w14:textFill>
    </w:rPr>
  </w:style>
  <w:style w:type="character" w:customStyle="1" w:styleId="31">
    <w:name w:val="页脚 Char"/>
    <w:basedOn w:val="27"/>
    <w:link w:val="15"/>
    <w:qFormat/>
    <w:uiPriority w:val="99"/>
  </w:style>
  <w:style w:type="character" w:customStyle="1" w:styleId="32">
    <w:name w:val="批注框文本 Char"/>
    <w:basedOn w:val="27"/>
    <w:link w:val="14"/>
    <w:semiHidden/>
    <w:qFormat/>
    <w:uiPriority w:val="99"/>
    <w:rPr>
      <w:rFonts w:ascii="Tahoma" w:hAnsi="Tahoma" w:cs="Tahoma"/>
      <w:sz w:val="16"/>
      <w:szCs w:val="16"/>
    </w:rPr>
  </w:style>
  <w:style w:type="paragraph" w:customStyle="1" w:styleId="33">
    <w:name w:val="GSK cover title"/>
    <w:basedOn w:val="1"/>
    <w:qFormat/>
    <w:uiPriority w:val="0"/>
    <w:pPr>
      <w:spacing w:line="640" w:lineRule="exact"/>
    </w:pPr>
    <w:rPr>
      <w:b/>
      <w:color w:val="FF6600" w:themeColor="background2"/>
      <w:sz w:val="64"/>
      <w:szCs w:val="64"/>
      <w14:textFill>
        <w14:solidFill>
          <w14:schemeClr w14:val="bg2"/>
        </w14:solidFill>
      </w14:textFill>
    </w:rPr>
  </w:style>
  <w:style w:type="paragraph" w:customStyle="1" w:styleId="34">
    <w:name w:val="GSK date_cover"/>
    <w:basedOn w:val="1"/>
    <w:qFormat/>
    <w:uiPriority w:val="0"/>
    <w:pPr>
      <w:spacing w:line="640" w:lineRule="exact"/>
    </w:pPr>
    <w:rPr>
      <w:b/>
      <w:sz w:val="64"/>
      <w:szCs w:val="64"/>
    </w:rPr>
  </w:style>
  <w:style w:type="paragraph" w:customStyle="1" w:styleId="35">
    <w:name w:val="GSK strictly confidential_cover"/>
    <w:basedOn w:val="1"/>
    <w:qFormat/>
    <w:uiPriority w:val="0"/>
    <w:pPr>
      <w:spacing w:line="640" w:lineRule="exact"/>
    </w:pPr>
    <w:rPr>
      <w:b/>
      <w:color w:val="9A8B7D" w:themeColor="text2"/>
      <w:sz w:val="64"/>
      <w:szCs w:val="64"/>
      <w14:textFill>
        <w14:solidFill>
          <w14:schemeClr w14:val="tx2"/>
        </w14:solidFill>
      </w14:textFill>
    </w:rPr>
  </w:style>
  <w:style w:type="paragraph" w:customStyle="1" w:styleId="36">
    <w:name w:val="GSK disclaimer"/>
    <w:basedOn w:val="1"/>
    <w:qFormat/>
    <w:uiPriority w:val="0"/>
    <w:rPr>
      <w:color w:val="FF6600" w:themeColor="background2"/>
      <w:sz w:val="24"/>
      <w:szCs w:val="24"/>
      <w14:textFill>
        <w14:solidFill>
          <w14:schemeClr w14:val="bg2"/>
        </w14:solidFill>
      </w14:textFill>
    </w:rPr>
  </w:style>
  <w:style w:type="paragraph" w:customStyle="1" w:styleId="37">
    <w:name w:val="GSK footer"/>
    <w:basedOn w:val="15"/>
    <w:qFormat/>
    <w:uiPriority w:val="0"/>
    <w:pPr>
      <w:tabs>
        <w:tab w:val="right" w:pos="10206"/>
        <w:tab w:val="clear" w:pos="4513"/>
        <w:tab w:val="clear" w:pos="9026"/>
      </w:tabs>
    </w:pPr>
    <w:rPr>
      <w:sz w:val="15"/>
      <w:szCs w:val="15"/>
    </w:rPr>
  </w:style>
  <w:style w:type="paragraph" w:customStyle="1" w:styleId="38">
    <w:name w:val="GSK body text"/>
    <w:basedOn w:val="1"/>
    <w:qFormat/>
    <w:uiPriority w:val="0"/>
    <w:pPr>
      <w:contextualSpacing/>
    </w:pPr>
  </w:style>
  <w:style w:type="paragraph" w:styleId="39">
    <w:name w:val="List Paragraph"/>
    <w:basedOn w:val="1"/>
    <w:link w:val="69"/>
    <w:qFormat/>
    <w:uiPriority w:val="1"/>
    <w:pPr>
      <w:ind w:left="720"/>
      <w:contextualSpacing/>
    </w:pPr>
  </w:style>
  <w:style w:type="paragraph" w:customStyle="1" w:styleId="40">
    <w:name w:val="GSK bullet_tab for levels"/>
    <w:basedOn w:val="39"/>
    <w:qFormat/>
    <w:uiPriority w:val="0"/>
    <w:pPr>
      <w:numPr>
        <w:ilvl w:val="0"/>
        <w:numId w:val="1"/>
      </w:numPr>
      <w:spacing w:after="60"/>
    </w:pPr>
  </w:style>
  <w:style w:type="paragraph" w:customStyle="1" w:styleId="41">
    <w:name w:val="Address details"/>
    <w:basedOn w:val="1"/>
    <w:qFormat/>
    <w:uiPriority w:val="99"/>
    <w:pPr>
      <w:suppressAutoHyphens/>
      <w:autoSpaceDE w:val="0"/>
      <w:autoSpaceDN w:val="0"/>
      <w:adjustRightInd w:val="0"/>
      <w:spacing w:line="180" w:lineRule="atLeast"/>
      <w:textAlignment w:val="center"/>
    </w:pPr>
    <w:rPr>
      <w:rFonts w:ascii="Berthold Akzidenz Grotesk" w:hAnsi="Berthold Akzidenz Grotesk" w:cs="Berthold Akzidenz Grotesk"/>
      <w:color w:val="72635C"/>
      <w:spacing w:val="-1"/>
      <w:sz w:val="15"/>
      <w:szCs w:val="15"/>
    </w:rPr>
  </w:style>
  <w:style w:type="paragraph" w:customStyle="1" w:styleId="42">
    <w:name w:val="GSK heading"/>
    <w:basedOn w:val="2"/>
    <w:qFormat/>
    <w:uiPriority w:val="0"/>
  </w:style>
  <w:style w:type="table" w:customStyle="1" w:styleId="43">
    <w:name w:val="Light List1"/>
    <w:basedOn w:val="19"/>
    <w:qFormat/>
    <w:uiPriority w:val="61"/>
    <w:pPr>
      <w:spacing w:after="0" w:line="240" w:lineRule="auto"/>
    </w:pPr>
    <w:tblPr>
      <w:tblBorders>
        <w:top w:val="single" w:color="FF6600" w:themeColor="background2" w:sz="4" w:space="0"/>
        <w:left w:val="single" w:color="FF6600" w:themeColor="background2" w:sz="4" w:space="0"/>
        <w:bottom w:val="single" w:color="FF6600" w:themeColor="background2" w:sz="4" w:space="0"/>
        <w:right w:val="single" w:color="FF6600" w:themeColor="background2" w:sz="4"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635A54" w:themeFill="text1"/>
      </w:tcPr>
    </w:tblStylePr>
    <w:tblStylePr w:type="lastRow">
      <w:pPr>
        <w:spacing w:before="0" w:after="0" w:line="240" w:lineRule="auto"/>
      </w:pPr>
      <w:rPr>
        <w:b/>
        <w:bCs/>
      </w:rPr>
      <w:tcPr>
        <w:tcBorders>
          <w:top w:val="double" w:color="635A54" w:themeColor="text1" w:sz="6" w:space="0"/>
          <w:left w:val="single" w:color="635A54" w:themeColor="text1" w:sz="8" w:space="0"/>
          <w:bottom w:val="single" w:color="635A54" w:themeColor="text1" w:sz="8" w:space="0"/>
          <w:right w:val="single" w:color="635A54" w:themeColor="text1" w:sz="8" w:space="0"/>
        </w:tcBorders>
      </w:tcPr>
    </w:tblStylePr>
    <w:tblStylePr w:type="firstCol">
      <w:rPr>
        <w:b/>
        <w:bCs/>
      </w:rPr>
    </w:tblStylePr>
    <w:tblStylePr w:type="lastCol">
      <w:rPr>
        <w:b/>
        <w:bCs/>
      </w:rPr>
    </w:tblStylePr>
    <w:tblStylePr w:type="band1Vert">
      <w:tcPr>
        <w:tcBorders>
          <w:top w:val="single" w:color="635A54" w:themeColor="text1" w:sz="8" w:space="0"/>
          <w:left w:val="single" w:color="635A54" w:themeColor="text1" w:sz="8" w:space="0"/>
          <w:bottom w:val="single" w:color="635A54" w:themeColor="text1" w:sz="8" w:space="0"/>
          <w:right w:val="single" w:color="635A54" w:themeColor="text1" w:sz="8" w:space="0"/>
        </w:tcBorders>
      </w:tcPr>
    </w:tblStylePr>
    <w:tblStylePr w:type="band1Horz">
      <w:tcPr>
        <w:tcBorders>
          <w:top w:val="single" w:color="635A54" w:themeColor="text1" w:sz="8" w:space="0"/>
          <w:left w:val="single" w:color="635A54" w:themeColor="text1" w:sz="8" w:space="0"/>
          <w:bottom w:val="single" w:color="635A54" w:themeColor="text1" w:sz="8" w:space="0"/>
          <w:right w:val="single" w:color="635A54" w:themeColor="text1" w:sz="8" w:space="0"/>
        </w:tcBorders>
      </w:tcPr>
    </w:tblStylePr>
  </w:style>
  <w:style w:type="table" w:customStyle="1" w:styleId="44">
    <w:name w:val="Light Shading1"/>
    <w:basedOn w:val="19"/>
    <w:qFormat/>
    <w:uiPriority w:val="60"/>
    <w:pPr>
      <w:spacing w:after="0" w:line="240" w:lineRule="auto"/>
    </w:pPr>
    <w:rPr>
      <w:color w:val="4A443F" w:themeColor="text1" w:themeShade="BF"/>
    </w:rPr>
    <w:tblPr>
      <w:tblBorders>
        <w:top w:val="single" w:color="635A54" w:themeColor="text1" w:sz="8" w:space="0"/>
        <w:bottom w:val="single" w:color="635A54"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635A54" w:themeColor="text1" w:sz="8" w:space="0"/>
          <w:left w:val="nil"/>
          <w:bottom w:val="single" w:color="635A54" w:themeColor="text1" w:sz="8" w:space="0"/>
          <w:right w:val="nil"/>
          <w:insideH w:val="nil"/>
          <w:insideV w:val="nil"/>
        </w:tcBorders>
      </w:tcPr>
    </w:tblStylePr>
    <w:tblStylePr w:type="lastRow">
      <w:pPr>
        <w:spacing w:before="0" w:after="0" w:line="240" w:lineRule="auto"/>
      </w:pPr>
      <w:rPr>
        <w:b/>
        <w:bCs/>
      </w:rPr>
      <w:tcPr>
        <w:tcBorders>
          <w:top w:val="single" w:color="635A54" w:themeColor="text1" w:sz="8" w:space="0"/>
          <w:left w:val="nil"/>
          <w:bottom w:val="single" w:color="635A54"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9D5D3" w:themeFill="text1" w:themeFillTint="3F"/>
      </w:tcPr>
    </w:tblStylePr>
    <w:tblStylePr w:type="band1Horz">
      <w:tcPr>
        <w:tcBorders>
          <w:left w:val="nil"/>
          <w:right w:val="nil"/>
          <w:insideH w:val="nil"/>
          <w:insideV w:val="nil"/>
        </w:tcBorders>
        <w:shd w:val="clear" w:color="auto" w:fill="D9D5D3" w:themeFill="text1" w:themeFillTint="3F"/>
      </w:tcPr>
    </w:tblStylePr>
  </w:style>
  <w:style w:type="paragraph" w:customStyle="1" w:styleId="45">
    <w:name w:val="Style2"/>
    <w:basedOn w:val="1"/>
    <w:uiPriority w:val="0"/>
  </w:style>
  <w:style w:type="paragraph" w:customStyle="1" w:styleId="46">
    <w:name w:val="GSK subheading"/>
    <w:basedOn w:val="3"/>
    <w:qFormat/>
    <w:uiPriority w:val="0"/>
    <w:pPr>
      <w:contextualSpacing/>
    </w:pPr>
  </w:style>
  <w:style w:type="character" w:customStyle="1" w:styleId="47">
    <w:name w:val="标题 1 Char"/>
    <w:basedOn w:val="27"/>
    <w:link w:val="2"/>
    <w:qFormat/>
    <w:uiPriority w:val="9"/>
    <w:rPr>
      <w:rFonts w:asciiTheme="majorHAnsi" w:hAnsiTheme="majorHAnsi" w:eastAsiaTheme="majorEastAsia" w:cstheme="majorBidi"/>
      <w:b/>
      <w:bCs/>
      <w:color w:val="FF6600" w:themeColor="background2"/>
      <w:sz w:val="20"/>
      <w:szCs w:val="28"/>
      <w14:textFill>
        <w14:solidFill>
          <w14:schemeClr w14:val="bg2"/>
        </w14:solidFill>
      </w14:textFill>
    </w:rPr>
  </w:style>
  <w:style w:type="character" w:customStyle="1" w:styleId="48">
    <w:name w:val="标题 2 Char"/>
    <w:basedOn w:val="27"/>
    <w:link w:val="3"/>
    <w:uiPriority w:val="9"/>
    <w:rPr>
      <w:rFonts w:asciiTheme="majorHAnsi" w:hAnsiTheme="majorHAnsi" w:eastAsiaTheme="majorEastAsia" w:cstheme="majorBidi"/>
      <w:b/>
      <w:bCs/>
      <w:color w:val="635A54" w:themeColor="text1"/>
      <w:sz w:val="20"/>
      <w:szCs w:val="26"/>
      <w14:textFill>
        <w14:solidFill>
          <w14:schemeClr w14:val="tx1"/>
        </w14:solidFill>
      </w14:textFill>
    </w:rPr>
  </w:style>
  <w:style w:type="character" w:customStyle="1" w:styleId="49">
    <w:name w:val="标题 3 Char"/>
    <w:basedOn w:val="27"/>
    <w:link w:val="4"/>
    <w:qFormat/>
    <w:uiPriority w:val="9"/>
    <w:rPr>
      <w:rFonts w:asciiTheme="majorHAnsi" w:hAnsiTheme="majorHAnsi" w:eastAsiaTheme="majorEastAsia" w:cstheme="majorBidi"/>
      <w:bCs/>
      <w:color w:val="635A54" w:themeColor="text1"/>
      <w:sz w:val="20"/>
      <w14:textFill>
        <w14:solidFill>
          <w14:schemeClr w14:val="tx1"/>
        </w14:solidFill>
      </w14:textFill>
    </w:rPr>
  </w:style>
  <w:style w:type="character" w:customStyle="1" w:styleId="50">
    <w:name w:val="标题 4 Char"/>
    <w:basedOn w:val="27"/>
    <w:link w:val="5"/>
    <w:semiHidden/>
    <w:uiPriority w:val="9"/>
    <w:rPr>
      <w:rFonts w:asciiTheme="majorHAnsi" w:hAnsiTheme="majorHAnsi" w:eastAsiaTheme="majorEastAsia" w:cstheme="majorBidi"/>
      <w:bCs/>
      <w:iCs/>
      <w:color w:val="9A8B7D" w:themeColor="text2"/>
      <w14:textFill>
        <w14:solidFill>
          <w14:schemeClr w14:val="tx2"/>
        </w14:solidFill>
      </w14:textFill>
    </w:rPr>
  </w:style>
  <w:style w:type="table" w:customStyle="1" w:styleId="51">
    <w:name w:val="Light List - Accent 11"/>
    <w:basedOn w:val="19"/>
    <w:qFormat/>
    <w:uiPriority w:val="61"/>
    <w:pPr>
      <w:spacing w:after="0" w:line="240" w:lineRule="auto"/>
    </w:pPr>
    <w:tblPr>
      <w:tblBorders>
        <w:top w:val="single" w:color="FF6600" w:themeColor="accent1" w:sz="8" w:space="0"/>
        <w:left w:val="single" w:color="FF6600" w:themeColor="accent1" w:sz="8" w:space="0"/>
        <w:bottom w:val="single" w:color="FF6600" w:themeColor="accent1" w:sz="8" w:space="0"/>
        <w:right w:val="single" w:color="FF6600"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cPr>
        <w:shd w:val="clear" w:color="auto" w:fill="FF6600" w:themeFill="accent1"/>
      </w:tcPr>
    </w:tblStylePr>
    <w:tblStylePr w:type="lastRow">
      <w:pPr>
        <w:spacing w:before="0" w:after="0" w:line="240" w:lineRule="auto"/>
      </w:pPr>
      <w:rPr>
        <w:b/>
        <w:bCs/>
      </w:rPr>
      <w:tcPr>
        <w:tcBorders>
          <w:top w:val="double" w:color="FF6600" w:themeColor="accent1" w:sz="6" w:space="0"/>
          <w:left w:val="single" w:color="FF6600" w:themeColor="accent1" w:sz="8" w:space="0"/>
          <w:bottom w:val="single" w:color="FF6600" w:themeColor="accent1" w:sz="8" w:space="0"/>
          <w:right w:val="single" w:color="FF6600" w:themeColor="accent1" w:sz="8" w:space="0"/>
        </w:tcBorders>
      </w:tcPr>
    </w:tblStylePr>
    <w:tblStylePr w:type="firstCol">
      <w:rPr>
        <w:b/>
        <w:bCs/>
      </w:rPr>
    </w:tblStylePr>
    <w:tblStylePr w:type="lastCol">
      <w:rPr>
        <w:b/>
        <w:bCs/>
      </w:rPr>
    </w:tblStylePr>
    <w:tblStylePr w:type="band1Vert">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tcPr>
    </w:tblStylePr>
    <w:tblStylePr w:type="band1Horz">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tcPr>
    </w:tblStylePr>
  </w:style>
  <w:style w:type="table" w:customStyle="1" w:styleId="52">
    <w:name w:val="Light Grid - Accent 11"/>
    <w:basedOn w:val="19"/>
    <w:uiPriority w:val="62"/>
    <w:pPr>
      <w:spacing w:after="0" w:line="240" w:lineRule="auto"/>
    </w:pPr>
    <w:tblPr>
      <w:tblBorders>
        <w:top w:val="single" w:color="FF6600" w:themeColor="accent1" w:sz="8" w:space="0"/>
        <w:left w:val="single" w:color="FF6600" w:themeColor="accent1" w:sz="8" w:space="0"/>
        <w:bottom w:val="single" w:color="FF6600" w:themeColor="accent1" w:sz="8" w:space="0"/>
        <w:right w:val="single" w:color="FF6600" w:themeColor="accent1" w:sz="8" w:space="0"/>
        <w:insideH w:val="single" w:color="FF6600" w:themeColor="accent1" w:sz="8" w:space="0"/>
        <w:insideV w:val="single" w:color="FF6600"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FF6600" w:themeColor="accent1" w:sz="8" w:space="0"/>
          <w:left w:val="single" w:color="FF6600" w:themeColor="accent1" w:sz="8" w:space="0"/>
          <w:bottom w:val="single" w:color="FF6600" w:themeColor="accent1" w:sz="18" w:space="0"/>
          <w:right w:val="single" w:color="FF6600"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FF6600" w:themeColor="accent1" w:sz="6" w:space="0"/>
          <w:left w:val="single" w:color="FF6600" w:themeColor="accent1" w:sz="8" w:space="0"/>
          <w:bottom w:val="single" w:color="FF6600" w:themeColor="accent1" w:sz="8" w:space="0"/>
          <w:right w:val="single" w:color="FF6600"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tcPr>
    </w:tblStylePr>
    <w:tblStylePr w:type="band1Vert">
      <w:tcPr>
        <w:tcBorders>
          <w:top w:val="single" w:color="FF6600" w:themeColor="accent1" w:sz="8" w:space="0"/>
          <w:left w:val="single" w:color="FF6600" w:themeColor="accent1" w:sz="8" w:space="0"/>
          <w:bottom w:val="single" w:color="FF6600" w:themeColor="accent1" w:sz="8" w:space="0"/>
          <w:right w:val="single" w:color="FF6600" w:themeColor="accent1" w:sz="8" w:space="0"/>
        </w:tcBorders>
        <w:shd w:val="clear" w:color="auto" w:fill="FFD9BF" w:themeFill="accent1" w:themeFillTint="3F"/>
      </w:tcPr>
    </w:tblStylePr>
    <w:tblStylePr w:type="band1Horz">
      <w:tcPr>
        <w:tcBorders>
          <w:top w:val="single" w:color="FF6600" w:themeColor="accent1" w:sz="8" w:space="0"/>
          <w:left w:val="single" w:color="FF6600" w:themeColor="accent1" w:sz="8" w:space="0"/>
          <w:bottom w:val="single" w:color="FF6600" w:themeColor="accent1" w:sz="8" w:space="0"/>
          <w:right w:val="single" w:color="FF6600" w:themeColor="accent1" w:sz="8" w:space="0"/>
          <w:insideV w:val="single" w:sz="8" w:space="0"/>
        </w:tcBorders>
        <w:shd w:val="clear" w:color="auto" w:fill="FFD9BF" w:themeFill="accent1" w:themeFillTint="3F"/>
      </w:tcPr>
    </w:tblStylePr>
    <w:tblStylePr w:type="band2Horz">
      <w:tcPr>
        <w:tcBorders>
          <w:top w:val="single" w:color="FF6600" w:themeColor="accent1" w:sz="8" w:space="0"/>
          <w:left w:val="single" w:color="FF6600" w:themeColor="accent1" w:sz="8" w:space="0"/>
          <w:bottom w:val="single" w:color="FF6600" w:themeColor="accent1" w:sz="8" w:space="0"/>
          <w:right w:val="single" w:color="FF6600" w:themeColor="accent1" w:sz="8" w:space="0"/>
          <w:insideV w:val="single" w:sz="8" w:space="0"/>
        </w:tcBorders>
      </w:tcPr>
    </w:tblStylePr>
  </w:style>
  <w:style w:type="table" w:customStyle="1" w:styleId="53">
    <w:name w:val="Light Shading - Accent 11"/>
    <w:basedOn w:val="19"/>
    <w:qFormat/>
    <w:uiPriority w:val="60"/>
    <w:pPr>
      <w:spacing w:after="0" w:line="240" w:lineRule="auto"/>
    </w:pPr>
    <w:rPr>
      <w:color w:val="BF4D00" w:themeColor="accent1" w:themeShade="BF"/>
    </w:rPr>
    <w:tblPr>
      <w:tblBorders>
        <w:top w:val="single" w:color="FF6600" w:themeColor="accent1" w:sz="8" w:space="0"/>
        <w:bottom w:val="single" w:color="FF6600"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FF6600" w:themeColor="accent1" w:sz="8" w:space="0"/>
          <w:left w:val="nil"/>
          <w:bottom w:val="single" w:color="FF6600" w:themeColor="accent1" w:sz="8" w:space="0"/>
          <w:right w:val="nil"/>
          <w:insideH w:val="nil"/>
          <w:insideV w:val="nil"/>
        </w:tcBorders>
      </w:tcPr>
    </w:tblStylePr>
    <w:tblStylePr w:type="lastRow">
      <w:pPr>
        <w:spacing w:before="0" w:after="0" w:line="240" w:lineRule="auto"/>
      </w:pPr>
      <w:rPr>
        <w:b/>
        <w:bCs/>
      </w:rPr>
      <w:tcPr>
        <w:tcBorders>
          <w:top w:val="single" w:color="FF6600" w:themeColor="accent1" w:sz="8" w:space="0"/>
          <w:left w:val="nil"/>
          <w:bottom w:val="single" w:color="FF6600"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FFD9BF" w:themeFill="accent1" w:themeFillTint="3F"/>
      </w:tcPr>
    </w:tblStylePr>
    <w:tblStylePr w:type="band1Horz">
      <w:tcPr>
        <w:tcBorders>
          <w:left w:val="nil"/>
          <w:right w:val="nil"/>
          <w:insideH w:val="nil"/>
          <w:insideV w:val="nil"/>
        </w:tcBorders>
        <w:shd w:val="clear" w:color="auto" w:fill="FFD9BF" w:themeFill="accent1" w:themeFillTint="3F"/>
      </w:tcPr>
    </w:tblStylePr>
  </w:style>
  <w:style w:type="paragraph" w:customStyle="1" w:styleId="54">
    <w:name w:val="GSK image caption"/>
    <w:basedOn w:val="1"/>
    <w:qFormat/>
    <w:uiPriority w:val="0"/>
    <w:pPr>
      <w:spacing w:before="100"/>
    </w:pPr>
    <w:rPr>
      <w:color w:val="FF6600" w:themeColor="accent1"/>
      <w:sz w:val="16"/>
      <w14:textFill>
        <w14:solidFill>
          <w14:schemeClr w14:val="accent1"/>
        </w14:solidFill>
      </w14:textFill>
    </w:rPr>
  </w:style>
  <w:style w:type="table" w:customStyle="1" w:styleId="55">
    <w:name w:val="GSK table style"/>
    <w:basedOn w:val="20"/>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
    <w:tblStylePr w:type="firstRow">
      <w:pPr>
        <w:wordWrap/>
        <w:spacing w:beforeLines="0" w:beforeAutospacing="0" w:afterLines="0" w:afterAutospacing="0" w:line="240" w:lineRule="auto"/>
        <w:jc w:val="left"/>
      </w:pPr>
      <w:rPr>
        <w:rFonts w:ascii="Arial" w:hAnsi="Arial"/>
        <w:b/>
        <w:color w:val="FFFFFF" w:themeColor="background1"/>
        <w:sz w:val="20"/>
        <w14:textFill>
          <w14:solidFill>
            <w14:schemeClr w14:val="bg1"/>
          </w14:solidFill>
        </w14:textFill>
      </w:rPr>
      <w:tcPr>
        <w:tcBorders>
          <w:top w:val="single" w:color="FFFFFF" w:themeColor="background1" w:sz="4" w:space="0"/>
          <w:left w:val="nil"/>
          <w:bottom w:val="single" w:color="FFFFFF" w:themeColor="background1" w:sz="4" w:space="0"/>
          <w:right w:val="nil"/>
          <w:insideH w:val="nil"/>
          <w:insideV w:val="single" w:sz="4" w:space="0"/>
          <w:tl2br w:val="nil"/>
          <w:tr2bl w:val="nil"/>
        </w:tcBorders>
        <w:shd w:val="clear" w:color="auto" w:fill="FF6600" w:themeFill="background2"/>
        <w:vAlign w:val="top"/>
      </w:tcPr>
    </w:tblStylePr>
    <w:tblStylePr w:type="band1Horz">
      <w:pPr>
        <w:wordWrap/>
        <w:spacing w:beforeLines="0" w:beforeAutospacing="0" w:afterLines="0" w:afterAutospacing="0" w:line="240" w:lineRule="auto"/>
        <w:jc w:val="left"/>
      </w:pPr>
      <w:rPr>
        <w:rFonts w:ascii="Arial" w:hAnsi="Arial"/>
        <w:color w:val="635A54" w:themeColor="text1"/>
        <w:sz w:val="20"/>
        <w14:textFill>
          <w14:solidFill>
            <w14:schemeClr w14:val="tx1"/>
          </w14:solidFill>
        </w14:textFill>
      </w:rPr>
      <w:tcPr>
        <w:tcBorders>
          <w:top w:val="nil"/>
          <w:left w:val="nil"/>
          <w:bottom w:val="single" w:color="635A54" w:themeColor="text1" w:sz="4" w:space="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635A54" w:themeColor="text1"/>
        <w:sz w:val="20"/>
        <w14:textFill>
          <w14:solidFill>
            <w14:schemeClr w14:val="tx1"/>
          </w14:solidFill>
        </w14:textFill>
      </w:rPr>
      <w:tcPr>
        <w:tcBorders>
          <w:top w:val="nil"/>
          <w:left w:val="nil"/>
          <w:bottom w:val="single" w:color="635A54" w:themeColor="text1" w:sz="4" w:space="0"/>
          <w:right w:val="nil"/>
          <w:insideH w:val="nil"/>
          <w:insideV w:val="nil"/>
          <w:tl2br w:val="nil"/>
          <w:tr2bl w:val="nil"/>
        </w:tcBorders>
        <w:vAlign w:val="top"/>
      </w:tcPr>
    </w:tblStylePr>
  </w:style>
  <w:style w:type="paragraph" w:customStyle="1" w:styleId="56">
    <w:name w:val="GSK agenda header"/>
    <w:basedOn w:val="1"/>
    <w:qFormat/>
    <w:uiPriority w:val="0"/>
    <w:rPr>
      <w:rFonts w:ascii="Arial" w:hAnsi="Arial"/>
      <w:b/>
      <w:color w:val="FF6600" w:themeColor="background2"/>
      <w14:textFill>
        <w14:solidFill>
          <w14:schemeClr w14:val="bg2"/>
        </w14:solidFill>
      </w14:textFill>
    </w:rPr>
  </w:style>
  <w:style w:type="paragraph" w:customStyle="1" w:styleId="57">
    <w:name w:val="_green"/>
    <w:basedOn w:val="1"/>
    <w:uiPriority w:val="0"/>
    <w:pPr>
      <w:numPr>
        <w:ilvl w:val="0"/>
        <w:numId w:val="2"/>
      </w:numPr>
    </w:pPr>
    <w:rPr>
      <w:rFonts w:ascii="Arial" w:hAnsi="Arial" w:eastAsia="宋体" w:cs="Arial"/>
      <w:i/>
      <w:iCs/>
      <w:color w:val="008000"/>
      <w:sz w:val="22"/>
      <w:szCs w:val="22"/>
    </w:rPr>
  </w:style>
  <w:style w:type="character" w:customStyle="1" w:styleId="58">
    <w:name w:val="纯文本 Char"/>
    <w:basedOn w:val="27"/>
    <w:link w:val="13"/>
    <w:uiPriority w:val="99"/>
    <w:rPr>
      <w:rFonts w:ascii="Calibri" w:hAnsi="Courier New" w:eastAsia="宋体" w:cs="Courier New"/>
      <w:color w:val="auto"/>
      <w:kern w:val="2"/>
      <w:sz w:val="21"/>
      <w:szCs w:val="21"/>
      <w:lang w:val="en-US" w:eastAsia="zh-CN"/>
    </w:rPr>
  </w:style>
  <w:style w:type="table" w:customStyle="1" w:styleId="59">
    <w:name w:val="Table Grid Light1"/>
    <w:basedOn w:val="19"/>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60">
    <w:name w:val="Unresolved Mention1"/>
    <w:basedOn w:val="27"/>
    <w:semiHidden/>
    <w:unhideWhenUsed/>
    <w:qFormat/>
    <w:uiPriority w:val="99"/>
    <w:rPr>
      <w:color w:val="605E5C"/>
      <w:shd w:val="clear" w:color="auto" w:fill="E1DFDD"/>
    </w:rPr>
  </w:style>
  <w:style w:type="character" w:customStyle="1" w:styleId="61">
    <w:name w:val="批注文字 Char"/>
    <w:basedOn w:val="27"/>
    <w:link w:val="11"/>
    <w:semiHidden/>
    <w:qFormat/>
    <w:uiPriority w:val="99"/>
  </w:style>
  <w:style w:type="character" w:customStyle="1" w:styleId="62">
    <w:name w:val="批注主题 Char"/>
    <w:basedOn w:val="61"/>
    <w:link w:val="18"/>
    <w:semiHidden/>
    <w:qFormat/>
    <w:uiPriority w:val="99"/>
    <w:rPr>
      <w:b/>
      <w:bCs/>
    </w:rPr>
  </w:style>
  <w:style w:type="character" w:customStyle="1" w:styleId="63">
    <w:name w:val="正文文本 Char"/>
    <w:basedOn w:val="27"/>
    <w:link w:val="12"/>
    <w:qFormat/>
    <w:uiPriority w:val="99"/>
    <w:rPr>
      <w:rFonts w:ascii="Times New Roman" w:hAnsi="Times New Roman" w:eastAsia="宋体" w:cs="Times New Roman"/>
      <w:color w:val="auto"/>
      <w:kern w:val="2"/>
      <w:sz w:val="21"/>
      <w:lang w:val="zh-CN" w:eastAsia="zh-CN"/>
    </w:rPr>
  </w:style>
  <w:style w:type="character" w:customStyle="1" w:styleId="64">
    <w:name w:val="标题 5 Char"/>
    <w:basedOn w:val="27"/>
    <w:link w:val="6"/>
    <w:uiPriority w:val="0"/>
    <w:rPr>
      <w:rFonts w:ascii="Bosch Office Sans" w:hAnsi="Bosch Office Sans" w:eastAsia="宋体" w:cs="Times New Roman"/>
      <w:b/>
      <w:bCs/>
      <w:i/>
      <w:iCs/>
      <w:color w:val="auto"/>
      <w:sz w:val="26"/>
      <w:szCs w:val="26"/>
    </w:rPr>
  </w:style>
  <w:style w:type="character" w:customStyle="1" w:styleId="65">
    <w:name w:val="标题 6 Char"/>
    <w:basedOn w:val="27"/>
    <w:link w:val="7"/>
    <w:uiPriority w:val="0"/>
    <w:rPr>
      <w:rFonts w:ascii="Bosch Office Sans" w:hAnsi="Bosch Office Sans" w:eastAsia="宋体" w:cs="Times New Roman"/>
      <w:b/>
      <w:bCs/>
      <w:color w:val="auto"/>
      <w:sz w:val="22"/>
      <w:szCs w:val="22"/>
    </w:rPr>
  </w:style>
  <w:style w:type="character" w:customStyle="1" w:styleId="66">
    <w:name w:val="标题 7 Char"/>
    <w:basedOn w:val="27"/>
    <w:link w:val="8"/>
    <w:uiPriority w:val="0"/>
    <w:rPr>
      <w:rFonts w:ascii="Bosch Office Sans" w:hAnsi="Bosch Office Sans" w:eastAsia="宋体" w:cs="Times New Roman"/>
      <w:color w:val="auto"/>
      <w:sz w:val="22"/>
      <w:szCs w:val="24"/>
    </w:rPr>
  </w:style>
  <w:style w:type="character" w:customStyle="1" w:styleId="67">
    <w:name w:val="标题 8 Char"/>
    <w:basedOn w:val="27"/>
    <w:link w:val="9"/>
    <w:uiPriority w:val="0"/>
    <w:rPr>
      <w:rFonts w:ascii="Bosch Office Sans" w:hAnsi="Bosch Office Sans" w:eastAsia="宋体" w:cs="Times New Roman"/>
      <w:i/>
      <w:iCs/>
      <w:color w:val="auto"/>
      <w:sz w:val="22"/>
      <w:szCs w:val="24"/>
    </w:rPr>
  </w:style>
  <w:style w:type="character" w:customStyle="1" w:styleId="68">
    <w:name w:val="标题 9 Char"/>
    <w:basedOn w:val="27"/>
    <w:link w:val="10"/>
    <w:qFormat/>
    <w:uiPriority w:val="0"/>
    <w:rPr>
      <w:rFonts w:ascii="Bosch Office Sans" w:hAnsi="Bosch Office Sans" w:eastAsia="宋体" w:cs="Arial"/>
      <w:color w:val="auto"/>
      <w:sz w:val="22"/>
      <w:szCs w:val="22"/>
    </w:rPr>
  </w:style>
  <w:style w:type="character" w:customStyle="1" w:styleId="69">
    <w:name w:val="列出段落 Char"/>
    <w:link w:val="39"/>
    <w:qFormat/>
    <w:uiPriority w:val="34"/>
  </w:style>
  <w:style w:type="paragraph" w:customStyle="1" w:styleId="70">
    <w:name w:val="Body text|23"/>
    <w:basedOn w:val="1"/>
    <w:qFormat/>
    <w:uiPriority w:val="0"/>
    <w:pPr>
      <w:shd w:val="clear" w:color="auto" w:fill="FFFFFF"/>
      <w:spacing w:before="820" w:line="619" w:lineRule="exact"/>
      <w:jc w:val="distribute"/>
    </w:pPr>
    <w:rPr>
      <w:rFonts w:ascii="PMingLiU" w:hAnsi="PMingLiU" w:eastAsia="PMingLiU" w:cs="PMingLiU"/>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GSK Colour palette">
      <a:dk1>
        <a:srgbClr val="635A54"/>
      </a:dk1>
      <a:lt1>
        <a:srgbClr val="FFFFFF"/>
      </a:lt1>
      <a:dk2>
        <a:srgbClr val="9A8B7D"/>
      </a:dk2>
      <a:lt2>
        <a:srgbClr val="FF6600"/>
      </a:lt2>
      <a:accent1>
        <a:srgbClr val="FF6600"/>
      </a:accent1>
      <a:accent2>
        <a:srgbClr val="635A54"/>
      </a:accent2>
      <a:accent3>
        <a:srgbClr val="9A8B7D"/>
      </a:accent3>
      <a:accent4>
        <a:srgbClr val="00B6C9"/>
      </a:accent4>
      <a:accent5>
        <a:srgbClr val="BE0077"/>
      </a:accent5>
      <a:accent6>
        <a:srgbClr val="4A8322"/>
      </a:accent6>
      <a:hlink>
        <a:srgbClr val="FF6600"/>
      </a:hlink>
      <a:folHlink>
        <a:srgbClr val="9A8B7D"/>
      </a:folHlink>
    </a:clrScheme>
    <a:fontScheme name="GS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231D44-B40C-4DA8-8891-EAB858D46778}">
  <ds:schemaRefs/>
</ds:datastoreItem>
</file>

<file path=docProps/app.xml><?xml version="1.0" encoding="utf-8"?>
<Properties xmlns="http://schemas.openxmlformats.org/officeDocument/2006/extended-properties" xmlns:vt="http://schemas.openxmlformats.org/officeDocument/2006/docPropsVTypes">
  <Template>Normal</Template>
  <Company>GlaxoSmithKline</Company>
  <Pages>3</Pages>
  <Words>218</Words>
  <Characters>1243</Characters>
  <Lines>10</Lines>
  <Paragraphs>2</Paragraphs>
  <TotalTime>59</TotalTime>
  <ScaleCrop>false</ScaleCrop>
  <LinksUpToDate>false</LinksUpToDate>
  <CharactersWithSpaces>1459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2020-10-16T08:41:00Z</dcterms:created>
  <dc:creator>GSK</dc:creator>
  <cp:lastModifiedBy>''Yan小雪。</cp:lastModifiedBy>
  <cp:lastPrinted>2017-05-12T09:48:00Z</cp:lastPrinted>
  <dcterms:modified xsi:type="dcterms:W3CDTF">2021-04-26T06:46:41Z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2CF869C1B2524E1CBE58208ABF0E21DF</vt:lpwstr>
  </property>
</Properties>
</file>